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6C08" w14:textId="77777777" w:rsidR="00DD7D30" w:rsidRDefault="00DD7D30" w:rsidP="006853C6">
      <w:pPr>
        <w:jc w:val="center"/>
        <w:rPr>
          <w:rFonts w:ascii="Arial" w:hAnsi="Arial" w:cs="Arial"/>
          <w:b/>
          <w:bCs/>
          <w:sz w:val="36"/>
          <w:szCs w:val="36"/>
        </w:rPr>
      </w:pPr>
      <w:r>
        <w:rPr>
          <w:rFonts w:ascii="Arial" w:hAnsi="Arial" w:cs="Arial"/>
          <w:b/>
          <w:bCs/>
          <w:noProof/>
          <w:sz w:val="24"/>
          <w:szCs w:val="24"/>
        </w:rPr>
        <w:drawing>
          <wp:inline distT="0" distB="0" distL="0" distR="0" wp14:anchorId="2A57CF44" wp14:editId="05B71B14">
            <wp:extent cx="3706314" cy="1577340"/>
            <wp:effectExtent l="0" t="0" r="889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686" cy="1590266"/>
                    </a:xfrm>
                    <a:prstGeom prst="rect">
                      <a:avLst/>
                    </a:prstGeom>
                    <a:noFill/>
                  </pic:spPr>
                </pic:pic>
              </a:graphicData>
            </a:graphic>
          </wp:inline>
        </w:drawing>
      </w:r>
    </w:p>
    <w:p w14:paraId="39A755B5" w14:textId="77777777" w:rsidR="00DD7D30" w:rsidRDefault="00DD7D30" w:rsidP="00B777CD">
      <w:pPr>
        <w:jc w:val="both"/>
        <w:rPr>
          <w:rFonts w:ascii="Arial" w:hAnsi="Arial" w:cs="Arial"/>
          <w:b/>
          <w:bCs/>
          <w:color w:val="002060"/>
          <w:sz w:val="36"/>
          <w:szCs w:val="36"/>
        </w:rPr>
      </w:pPr>
    </w:p>
    <w:p w14:paraId="638FE2AF" w14:textId="77777777" w:rsidR="00DD7D30" w:rsidRDefault="00DD7D30" w:rsidP="006853C6">
      <w:pPr>
        <w:jc w:val="center"/>
        <w:rPr>
          <w:rFonts w:ascii="Arial" w:hAnsi="Arial" w:cs="Arial"/>
          <w:b/>
          <w:bCs/>
          <w:color w:val="002060"/>
          <w:sz w:val="36"/>
          <w:szCs w:val="36"/>
        </w:rPr>
      </w:pPr>
      <w:r>
        <w:rPr>
          <w:rFonts w:ascii="Arial" w:hAnsi="Arial" w:cs="Arial"/>
          <w:b/>
          <w:bCs/>
          <w:color w:val="002060"/>
          <w:sz w:val="36"/>
          <w:szCs w:val="36"/>
        </w:rPr>
        <w:t>City of York Council</w:t>
      </w:r>
    </w:p>
    <w:p w14:paraId="21F83CED" w14:textId="77777777" w:rsidR="00DD7D30" w:rsidRDefault="00DD7D30" w:rsidP="00B777CD">
      <w:pPr>
        <w:jc w:val="both"/>
        <w:rPr>
          <w:rFonts w:ascii="Arial" w:hAnsi="Arial" w:cs="Arial"/>
          <w:b/>
          <w:bCs/>
          <w:color w:val="002060"/>
          <w:sz w:val="36"/>
          <w:szCs w:val="36"/>
        </w:rPr>
      </w:pPr>
    </w:p>
    <w:p w14:paraId="4B461269" w14:textId="77777777" w:rsidR="00DD7D30" w:rsidRPr="00D25FE7" w:rsidRDefault="00DD7D30" w:rsidP="00B777CD">
      <w:pPr>
        <w:jc w:val="both"/>
        <w:rPr>
          <w:rFonts w:ascii="Arial" w:hAnsi="Arial" w:cs="Arial"/>
          <w:b/>
          <w:bCs/>
          <w:color w:val="002060"/>
          <w:sz w:val="36"/>
          <w:szCs w:val="36"/>
        </w:rPr>
      </w:pPr>
    </w:p>
    <w:p w14:paraId="5A3D1677" w14:textId="77777777" w:rsidR="00DD7D30" w:rsidRPr="00D25FE7" w:rsidRDefault="00DD7D30" w:rsidP="004E7C78">
      <w:pPr>
        <w:jc w:val="center"/>
        <w:rPr>
          <w:rFonts w:ascii="Arial" w:hAnsi="Arial" w:cs="Arial"/>
          <w:b/>
          <w:bCs/>
          <w:color w:val="002060"/>
          <w:sz w:val="36"/>
          <w:szCs w:val="36"/>
        </w:rPr>
      </w:pPr>
      <w:r>
        <w:rPr>
          <w:rFonts w:ascii="Arial" w:hAnsi="Arial" w:cs="Arial"/>
          <w:b/>
          <w:bCs/>
          <w:color w:val="002060"/>
          <w:sz w:val="36"/>
          <w:szCs w:val="36"/>
        </w:rPr>
        <w:t>York Sexual Health</w:t>
      </w:r>
      <w:r w:rsidRPr="00D25FE7">
        <w:rPr>
          <w:rFonts w:ascii="Arial" w:hAnsi="Arial" w:cs="Arial"/>
          <w:b/>
          <w:bCs/>
          <w:color w:val="002060"/>
          <w:sz w:val="36"/>
          <w:szCs w:val="36"/>
        </w:rPr>
        <w:t xml:space="preserve"> Needs Assessment</w:t>
      </w:r>
    </w:p>
    <w:p w14:paraId="7493C8A4" w14:textId="25905F7A" w:rsidR="00DD7D30" w:rsidRPr="00D25FE7" w:rsidRDefault="00DD7D30" w:rsidP="004E7C78">
      <w:pPr>
        <w:jc w:val="center"/>
        <w:rPr>
          <w:color w:val="002060"/>
          <w:sz w:val="36"/>
          <w:szCs w:val="36"/>
        </w:rPr>
      </w:pPr>
      <w:r w:rsidRPr="00D25FE7">
        <w:rPr>
          <w:color w:val="002060"/>
          <w:sz w:val="36"/>
          <w:szCs w:val="36"/>
        </w:rPr>
        <w:t>20</w:t>
      </w:r>
      <w:r w:rsidR="003F562E">
        <w:rPr>
          <w:color w:val="002060"/>
          <w:sz w:val="36"/>
          <w:szCs w:val="36"/>
        </w:rPr>
        <w:t>23</w:t>
      </w:r>
    </w:p>
    <w:p w14:paraId="64852D9E" w14:textId="77777777" w:rsidR="00DD7D30" w:rsidRPr="00D25FE7" w:rsidRDefault="00DD7D30" w:rsidP="00B777CD">
      <w:pPr>
        <w:jc w:val="both"/>
        <w:rPr>
          <w:color w:val="002060"/>
          <w:sz w:val="36"/>
          <w:szCs w:val="36"/>
        </w:rPr>
      </w:pPr>
    </w:p>
    <w:p w14:paraId="6433F1EB" w14:textId="77777777" w:rsidR="00DD7D30" w:rsidRDefault="00DD7D30" w:rsidP="004E7C78">
      <w:pPr>
        <w:jc w:val="center"/>
        <w:rPr>
          <w:color w:val="002060"/>
          <w:sz w:val="36"/>
          <w:szCs w:val="36"/>
        </w:rPr>
      </w:pPr>
      <w:r w:rsidRPr="00D25FE7">
        <w:rPr>
          <w:color w:val="002060"/>
          <w:sz w:val="36"/>
          <w:szCs w:val="36"/>
        </w:rPr>
        <w:t xml:space="preserve">A </w:t>
      </w:r>
      <w:r>
        <w:rPr>
          <w:color w:val="002060"/>
          <w:sz w:val="36"/>
          <w:szCs w:val="36"/>
        </w:rPr>
        <w:t>r</w:t>
      </w:r>
      <w:r w:rsidRPr="00D25FE7">
        <w:rPr>
          <w:color w:val="002060"/>
          <w:sz w:val="36"/>
          <w:szCs w:val="36"/>
        </w:rPr>
        <w:t xml:space="preserve">apid </w:t>
      </w:r>
      <w:r>
        <w:rPr>
          <w:color w:val="002060"/>
          <w:sz w:val="36"/>
          <w:szCs w:val="36"/>
        </w:rPr>
        <w:t>a</w:t>
      </w:r>
      <w:r w:rsidRPr="00D25FE7">
        <w:rPr>
          <w:color w:val="002060"/>
          <w:sz w:val="36"/>
          <w:szCs w:val="36"/>
        </w:rPr>
        <w:t xml:space="preserve">ssessment of the </w:t>
      </w:r>
      <w:r>
        <w:rPr>
          <w:color w:val="002060"/>
          <w:sz w:val="36"/>
          <w:szCs w:val="36"/>
        </w:rPr>
        <w:t>sexual health needs of the York population</w:t>
      </w:r>
    </w:p>
    <w:p w14:paraId="37D4B750" w14:textId="77777777" w:rsidR="00DD7D30" w:rsidRDefault="00DD7D30" w:rsidP="00B777CD">
      <w:pPr>
        <w:tabs>
          <w:tab w:val="left" w:pos="3540"/>
        </w:tabs>
        <w:jc w:val="both"/>
        <w:rPr>
          <w:color w:val="002060"/>
          <w:sz w:val="36"/>
          <w:szCs w:val="36"/>
        </w:rPr>
      </w:pPr>
      <w:r>
        <w:rPr>
          <w:color w:val="002060"/>
          <w:sz w:val="36"/>
          <w:szCs w:val="36"/>
        </w:rPr>
        <w:tab/>
      </w:r>
    </w:p>
    <w:p w14:paraId="768943F6" w14:textId="77777777" w:rsidR="00DD7D30" w:rsidRDefault="00DD7D30" w:rsidP="00B777CD">
      <w:pPr>
        <w:tabs>
          <w:tab w:val="left" w:pos="3540"/>
        </w:tabs>
        <w:jc w:val="both"/>
        <w:rPr>
          <w:color w:val="002060"/>
          <w:sz w:val="36"/>
          <w:szCs w:val="36"/>
        </w:rPr>
      </w:pPr>
    </w:p>
    <w:p w14:paraId="0B0134A6" w14:textId="77777777" w:rsidR="00DD7D30" w:rsidRDefault="00DD7D30" w:rsidP="00B777CD">
      <w:pPr>
        <w:jc w:val="both"/>
        <w:rPr>
          <w:color w:val="002060"/>
          <w:sz w:val="36"/>
          <w:szCs w:val="36"/>
        </w:rPr>
      </w:pPr>
    </w:p>
    <w:p w14:paraId="484D7695" w14:textId="77777777" w:rsidR="00DD7D30" w:rsidRDefault="00DD7D30" w:rsidP="00B777CD">
      <w:pPr>
        <w:jc w:val="both"/>
        <w:rPr>
          <w:color w:val="002060"/>
          <w:sz w:val="36"/>
          <w:szCs w:val="36"/>
        </w:rPr>
      </w:pPr>
    </w:p>
    <w:p w14:paraId="5ECB0765" w14:textId="77777777" w:rsidR="00DD7D30" w:rsidRDefault="00DD7D30" w:rsidP="00B777CD">
      <w:pPr>
        <w:jc w:val="both"/>
        <w:rPr>
          <w:color w:val="002060"/>
          <w:sz w:val="36"/>
          <w:szCs w:val="36"/>
        </w:rPr>
      </w:pPr>
      <w:r w:rsidRPr="00841AEA">
        <w:rPr>
          <w:b/>
          <w:bCs/>
          <w:color w:val="002060"/>
          <w:sz w:val="36"/>
          <w:szCs w:val="36"/>
        </w:rPr>
        <w:t>Heather Baker</w:t>
      </w:r>
      <w:r>
        <w:rPr>
          <w:color w:val="002060"/>
          <w:sz w:val="36"/>
          <w:szCs w:val="36"/>
        </w:rPr>
        <w:t xml:space="preserve"> Public Health Improvement Officer</w:t>
      </w:r>
    </w:p>
    <w:p w14:paraId="2DE7A2A8" w14:textId="15408B39" w:rsidR="00DD7D30" w:rsidRDefault="00C14229" w:rsidP="00B777CD">
      <w:pPr>
        <w:jc w:val="both"/>
        <w:rPr>
          <w:i/>
          <w:iCs/>
          <w:color w:val="002060"/>
          <w:sz w:val="36"/>
          <w:szCs w:val="36"/>
        </w:rPr>
      </w:pPr>
      <w:r>
        <w:rPr>
          <w:color w:val="002060"/>
          <w:sz w:val="36"/>
          <w:szCs w:val="36"/>
        </w:rPr>
        <w:t>January 2023</w:t>
      </w:r>
    </w:p>
    <w:p w14:paraId="4FAB0970" w14:textId="588131C6" w:rsidR="00371F7C" w:rsidRDefault="00371F7C" w:rsidP="00B777CD">
      <w:pPr>
        <w:jc w:val="both"/>
      </w:pPr>
    </w:p>
    <w:p w14:paraId="6F5F5DC8" w14:textId="389DAE3A" w:rsidR="00DD7D30" w:rsidRDefault="00DD7D30" w:rsidP="00B777CD">
      <w:pPr>
        <w:jc w:val="both"/>
      </w:pPr>
    </w:p>
    <w:p w14:paraId="1431C88E" w14:textId="54E7AF20" w:rsidR="00DD7D30" w:rsidRDefault="00DD7D30" w:rsidP="00B777CD">
      <w:pPr>
        <w:jc w:val="both"/>
      </w:pPr>
    </w:p>
    <w:p w14:paraId="573639A9" w14:textId="564EFCD5" w:rsidR="00DD7D30" w:rsidRDefault="00DD7D30" w:rsidP="00B777CD">
      <w:pPr>
        <w:jc w:val="both"/>
      </w:pPr>
    </w:p>
    <w:p w14:paraId="00BDBEC2" w14:textId="0A4BCDAE" w:rsidR="00DD7D30" w:rsidRDefault="00DD7D30" w:rsidP="00B777CD">
      <w:pPr>
        <w:jc w:val="both"/>
      </w:pPr>
    </w:p>
    <w:sdt>
      <w:sdtPr>
        <w:rPr>
          <w:rFonts w:asciiTheme="minorHAnsi" w:eastAsiaTheme="minorHAnsi" w:hAnsiTheme="minorHAnsi" w:cstheme="minorBidi"/>
          <w:color w:val="auto"/>
          <w:sz w:val="22"/>
          <w:szCs w:val="22"/>
          <w:lang w:val="en-GB"/>
        </w:rPr>
        <w:id w:val="2097283404"/>
        <w:docPartObj>
          <w:docPartGallery w:val="Table of Contents"/>
          <w:docPartUnique/>
        </w:docPartObj>
      </w:sdtPr>
      <w:sdtEndPr>
        <w:rPr>
          <w:b/>
          <w:bCs/>
          <w:noProof/>
        </w:rPr>
      </w:sdtEndPr>
      <w:sdtContent>
        <w:p w14:paraId="64654A6C" w14:textId="77777777" w:rsidR="00DD7D30" w:rsidRPr="006853C6" w:rsidRDefault="00DD7D30" w:rsidP="00B777CD">
          <w:pPr>
            <w:pStyle w:val="TOCHeading"/>
            <w:jc w:val="both"/>
            <w:rPr>
              <w:sz w:val="28"/>
              <w:szCs w:val="28"/>
            </w:rPr>
          </w:pPr>
          <w:r w:rsidRPr="006853C6">
            <w:rPr>
              <w:sz w:val="28"/>
              <w:szCs w:val="28"/>
            </w:rPr>
            <w:t>Contents</w:t>
          </w:r>
        </w:p>
        <w:p w14:paraId="2D85D00C" w14:textId="46D03EC8" w:rsidR="00915B26" w:rsidRPr="006853C6" w:rsidRDefault="00DD7D30" w:rsidP="00B777CD">
          <w:pPr>
            <w:pStyle w:val="TOC1"/>
            <w:tabs>
              <w:tab w:val="right" w:leader="dot" w:pos="9016"/>
            </w:tabs>
            <w:jc w:val="both"/>
            <w:rPr>
              <w:rFonts w:eastAsiaTheme="minorEastAsia"/>
              <w:noProof/>
              <w:sz w:val="20"/>
              <w:szCs w:val="20"/>
              <w:lang w:eastAsia="en-GB"/>
            </w:rPr>
          </w:pPr>
          <w:r w:rsidRPr="006853C6">
            <w:rPr>
              <w:sz w:val="20"/>
              <w:szCs w:val="20"/>
            </w:rPr>
            <w:fldChar w:fldCharType="begin"/>
          </w:r>
          <w:r w:rsidRPr="006853C6">
            <w:rPr>
              <w:sz w:val="20"/>
              <w:szCs w:val="20"/>
            </w:rPr>
            <w:instrText xml:space="preserve"> TOC \o "1-3" \h \z \u </w:instrText>
          </w:r>
          <w:r w:rsidRPr="006853C6">
            <w:rPr>
              <w:sz w:val="20"/>
              <w:szCs w:val="20"/>
            </w:rPr>
            <w:fldChar w:fldCharType="separate"/>
          </w:r>
          <w:hyperlink w:anchor="_Toc124346929" w:history="1">
            <w:r w:rsidR="00915B26" w:rsidRPr="006853C6">
              <w:rPr>
                <w:rStyle w:val="Hyperlink"/>
                <w:noProof/>
                <w:sz w:val="20"/>
                <w:szCs w:val="20"/>
              </w:rPr>
              <w:t>Glossary</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_Toc124346929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3</w:t>
            </w:r>
            <w:r w:rsidR="00915B26" w:rsidRPr="006853C6">
              <w:rPr>
                <w:noProof/>
                <w:webHidden/>
                <w:sz w:val="20"/>
                <w:szCs w:val="20"/>
              </w:rPr>
              <w:fldChar w:fldCharType="end"/>
            </w:r>
          </w:hyperlink>
        </w:p>
        <w:p w14:paraId="018B1DA0" w14:textId="42915DE2" w:rsidR="00915B26" w:rsidRPr="006853C6" w:rsidRDefault="00BC29F1" w:rsidP="00B777CD">
          <w:pPr>
            <w:pStyle w:val="TOC1"/>
            <w:tabs>
              <w:tab w:val="left" w:pos="440"/>
              <w:tab w:val="right" w:leader="dot" w:pos="9016"/>
            </w:tabs>
            <w:jc w:val="both"/>
            <w:rPr>
              <w:rFonts w:eastAsiaTheme="minorEastAsia"/>
              <w:noProof/>
              <w:sz w:val="20"/>
              <w:szCs w:val="20"/>
              <w:lang w:eastAsia="en-GB"/>
            </w:rPr>
          </w:pPr>
          <w:hyperlink w:anchor="_Toc124346930" w:history="1">
            <w:r w:rsidR="00915B26" w:rsidRPr="006853C6">
              <w:rPr>
                <w:rStyle w:val="Hyperlink"/>
                <w:noProof/>
                <w:sz w:val="20"/>
                <w:szCs w:val="20"/>
              </w:rPr>
              <w:t>1.</w:t>
            </w:r>
            <w:r w:rsidR="00915B26" w:rsidRPr="006853C6">
              <w:rPr>
                <w:rFonts w:eastAsiaTheme="minorEastAsia"/>
                <w:noProof/>
                <w:sz w:val="20"/>
                <w:szCs w:val="20"/>
                <w:lang w:eastAsia="en-GB"/>
              </w:rPr>
              <w:tab/>
            </w:r>
            <w:r w:rsidR="00915B26" w:rsidRPr="006853C6">
              <w:rPr>
                <w:rStyle w:val="Hyperlink"/>
                <w:noProof/>
                <w:sz w:val="20"/>
                <w:szCs w:val="20"/>
              </w:rPr>
              <w:t>Executive Summary and Key Findings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_Toc124346930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4</w:t>
            </w:r>
            <w:r w:rsidR="00915B26" w:rsidRPr="006853C6">
              <w:rPr>
                <w:noProof/>
                <w:webHidden/>
                <w:sz w:val="20"/>
                <w:szCs w:val="20"/>
              </w:rPr>
              <w:fldChar w:fldCharType="end"/>
            </w:r>
          </w:hyperlink>
        </w:p>
        <w:p w14:paraId="50FC3E9E" w14:textId="35471050" w:rsidR="00915B26" w:rsidRPr="006853C6" w:rsidRDefault="00BC29F1" w:rsidP="00B777CD">
          <w:pPr>
            <w:pStyle w:val="TOC1"/>
            <w:tabs>
              <w:tab w:val="left" w:pos="440"/>
              <w:tab w:val="right" w:leader="dot" w:pos="9016"/>
            </w:tabs>
            <w:jc w:val="both"/>
            <w:rPr>
              <w:rFonts w:eastAsiaTheme="minorEastAsia"/>
              <w:noProof/>
              <w:sz w:val="20"/>
              <w:szCs w:val="20"/>
              <w:lang w:eastAsia="en-GB"/>
            </w:rPr>
          </w:pPr>
          <w:hyperlink w:anchor="_Toc124346931" w:history="1">
            <w:r w:rsidR="00915B26" w:rsidRPr="006853C6">
              <w:rPr>
                <w:rStyle w:val="Hyperlink"/>
                <w:noProof/>
                <w:sz w:val="20"/>
                <w:szCs w:val="20"/>
              </w:rPr>
              <w:t>2.</w:t>
            </w:r>
            <w:r w:rsidR="00915B26" w:rsidRPr="006853C6">
              <w:rPr>
                <w:rFonts w:eastAsiaTheme="minorEastAsia"/>
                <w:noProof/>
                <w:sz w:val="20"/>
                <w:szCs w:val="20"/>
                <w:lang w:eastAsia="en-GB"/>
              </w:rPr>
              <w:tab/>
            </w:r>
            <w:r w:rsidR="00915B26" w:rsidRPr="006853C6">
              <w:rPr>
                <w:rStyle w:val="Hyperlink"/>
                <w:rFonts w:cstheme="majorHAnsi"/>
                <w:noProof/>
                <w:sz w:val="20"/>
                <w:szCs w:val="20"/>
              </w:rPr>
              <w:t>Scope and Purpose</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_Toc124346931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6</w:t>
            </w:r>
            <w:r w:rsidR="00915B26" w:rsidRPr="006853C6">
              <w:rPr>
                <w:noProof/>
                <w:webHidden/>
                <w:sz w:val="20"/>
                <w:szCs w:val="20"/>
              </w:rPr>
              <w:fldChar w:fldCharType="end"/>
            </w:r>
          </w:hyperlink>
        </w:p>
        <w:p w14:paraId="77FB15C7" w14:textId="59B5C57E" w:rsidR="00915B26" w:rsidRPr="006853C6" w:rsidRDefault="00BC29F1" w:rsidP="00B777CD">
          <w:pPr>
            <w:pStyle w:val="TOC1"/>
            <w:tabs>
              <w:tab w:val="left" w:pos="440"/>
              <w:tab w:val="right" w:leader="dot" w:pos="9016"/>
            </w:tabs>
            <w:jc w:val="both"/>
            <w:rPr>
              <w:rFonts w:eastAsiaTheme="minorEastAsia"/>
              <w:noProof/>
              <w:sz w:val="20"/>
              <w:szCs w:val="20"/>
              <w:lang w:eastAsia="en-GB"/>
            </w:rPr>
          </w:pPr>
          <w:hyperlink w:anchor="_Toc124346932" w:history="1">
            <w:r w:rsidR="00915B26" w:rsidRPr="006853C6">
              <w:rPr>
                <w:rStyle w:val="Hyperlink"/>
                <w:noProof/>
                <w:sz w:val="20"/>
                <w:szCs w:val="20"/>
              </w:rPr>
              <w:t>3.</w:t>
            </w:r>
            <w:r w:rsidR="00915B26" w:rsidRPr="006853C6">
              <w:rPr>
                <w:rFonts w:eastAsiaTheme="minorEastAsia"/>
                <w:noProof/>
                <w:sz w:val="20"/>
                <w:szCs w:val="20"/>
                <w:lang w:eastAsia="en-GB"/>
              </w:rPr>
              <w:tab/>
            </w:r>
            <w:r w:rsidR="00915B26" w:rsidRPr="006853C6">
              <w:rPr>
                <w:rStyle w:val="Hyperlink"/>
                <w:noProof/>
                <w:sz w:val="20"/>
                <w:szCs w:val="20"/>
              </w:rPr>
              <w:t>The Population of York</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_Toc124346932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9</w:t>
            </w:r>
            <w:r w:rsidR="00915B26" w:rsidRPr="006853C6">
              <w:rPr>
                <w:noProof/>
                <w:webHidden/>
                <w:sz w:val="20"/>
                <w:szCs w:val="20"/>
              </w:rPr>
              <w:fldChar w:fldCharType="end"/>
            </w:r>
          </w:hyperlink>
        </w:p>
        <w:p w14:paraId="767F6B8D" w14:textId="3B71F1BC" w:rsidR="00915B26" w:rsidRPr="006853C6" w:rsidRDefault="005D28E5" w:rsidP="00B777CD">
          <w:pPr>
            <w:pStyle w:val="TOC2"/>
            <w:jc w:val="both"/>
            <w:rPr>
              <w:rFonts w:eastAsiaTheme="minorEastAsia"/>
              <w:noProof/>
              <w:sz w:val="20"/>
              <w:szCs w:val="20"/>
              <w:lang w:eastAsia="en-GB"/>
            </w:rPr>
          </w:pPr>
          <w:r w:rsidRPr="006853C6">
            <w:rPr>
              <w:sz w:val="20"/>
              <w:szCs w:val="20"/>
            </w:rPr>
            <w:t xml:space="preserve">    </w:t>
          </w:r>
          <w:r w:rsidR="007B668B">
            <w:rPr>
              <w:sz w:val="20"/>
              <w:szCs w:val="20"/>
            </w:rPr>
            <w:t xml:space="preserve"> </w:t>
          </w:r>
          <w:hyperlink w:anchor="_Toc124346933" w:history="1">
            <w:r w:rsidR="00915B26" w:rsidRPr="006853C6">
              <w:rPr>
                <w:rStyle w:val="Hyperlink"/>
                <w:noProof/>
                <w:sz w:val="20"/>
                <w:szCs w:val="20"/>
              </w:rPr>
              <w:t>3.1. Population Size</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_Toc124346933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9</w:t>
            </w:r>
            <w:r w:rsidR="00915B26" w:rsidRPr="006853C6">
              <w:rPr>
                <w:noProof/>
                <w:webHidden/>
                <w:sz w:val="20"/>
                <w:szCs w:val="20"/>
              </w:rPr>
              <w:fldChar w:fldCharType="end"/>
            </w:r>
          </w:hyperlink>
        </w:p>
        <w:p w14:paraId="114DEE98" w14:textId="1D538A4C" w:rsidR="00915B26" w:rsidRPr="006853C6" w:rsidRDefault="005D28E5" w:rsidP="00B777CD">
          <w:pPr>
            <w:pStyle w:val="TOC2"/>
            <w:jc w:val="both"/>
            <w:rPr>
              <w:rFonts w:eastAsiaTheme="minorEastAsia"/>
              <w:noProof/>
              <w:sz w:val="20"/>
              <w:szCs w:val="20"/>
              <w:lang w:eastAsia="en-GB"/>
            </w:rPr>
          </w:pPr>
          <w:r w:rsidRPr="006853C6">
            <w:rPr>
              <w:sz w:val="20"/>
              <w:szCs w:val="20"/>
            </w:rPr>
            <w:t xml:space="preserve">    </w:t>
          </w:r>
          <w:r w:rsidR="007B668B">
            <w:rPr>
              <w:sz w:val="20"/>
              <w:szCs w:val="20"/>
            </w:rPr>
            <w:t xml:space="preserve"> </w:t>
          </w:r>
          <w:hyperlink w:anchor="_Toc124346934" w:history="1">
            <w:r w:rsidR="00915B26" w:rsidRPr="006853C6">
              <w:rPr>
                <w:rStyle w:val="Hyperlink"/>
                <w:noProof/>
                <w:sz w:val="20"/>
                <w:szCs w:val="20"/>
              </w:rPr>
              <w:t>3.2. Sexual Orientation</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_Toc124346934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10</w:t>
            </w:r>
            <w:r w:rsidR="00915B26" w:rsidRPr="006853C6">
              <w:rPr>
                <w:noProof/>
                <w:webHidden/>
                <w:sz w:val="20"/>
                <w:szCs w:val="20"/>
              </w:rPr>
              <w:fldChar w:fldCharType="end"/>
            </w:r>
          </w:hyperlink>
        </w:p>
        <w:p w14:paraId="75C7061F" w14:textId="7073E0D5"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35" w:history="1">
            <w:r w:rsidR="00915B26" w:rsidRPr="006853C6">
              <w:rPr>
                <w:rStyle w:val="Hyperlink"/>
                <w:noProof/>
                <w:sz w:val="20"/>
                <w:szCs w:val="20"/>
              </w:rPr>
              <w:t>3.3. Gender Identity</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_Toc124346935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11</w:t>
            </w:r>
            <w:r w:rsidR="00915B26" w:rsidRPr="006853C6">
              <w:rPr>
                <w:noProof/>
                <w:webHidden/>
                <w:sz w:val="20"/>
                <w:szCs w:val="20"/>
              </w:rPr>
              <w:fldChar w:fldCharType="end"/>
            </w:r>
          </w:hyperlink>
        </w:p>
        <w:p w14:paraId="6F42C959" w14:textId="0149CC69"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36" w:history="1">
            <w:r w:rsidR="00915B26" w:rsidRPr="006853C6">
              <w:rPr>
                <w:rStyle w:val="Hyperlink"/>
                <w:noProof/>
                <w:sz w:val="20"/>
                <w:szCs w:val="20"/>
              </w:rPr>
              <w:t>3.4. Ethnicity</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_Toc124346936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11</w:t>
            </w:r>
            <w:r w:rsidR="00915B26" w:rsidRPr="006853C6">
              <w:rPr>
                <w:noProof/>
                <w:webHidden/>
                <w:sz w:val="20"/>
                <w:szCs w:val="20"/>
              </w:rPr>
              <w:fldChar w:fldCharType="end"/>
            </w:r>
          </w:hyperlink>
        </w:p>
        <w:p w14:paraId="70333F5C" w14:textId="084E9BDC"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37" w:history="1">
            <w:r w:rsidR="00915B26" w:rsidRPr="006853C6">
              <w:rPr>
                <w:rStyle w:val="Hyperlink"/>
                <w:noProof/>
                <w:sz w:val="20"/>
                <w:szCs w:val="20"/>
              </w:rPr>
              <w:t>3.5. Disability</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_Toc124346937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11</w:t>
            </w:r>
            <w:r w:rsidR="00915B26" w:rsidRPr="006853C6">
              <w:rPr>
                <w:noProof/>
                <w:webHidden/>
                <w:sz w:val="20"/>
                <w:szCs w:val="20"/>
              </w:rPr>
              <w:fldChar w:fldCharType="end"/>
            </w:r>
          </w:hyperlink>
        </w:p>
        <w:p w14:paraId="79129924" w14:textId="2B1CD1F1"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38" w:history="1">
            <w:r w:rsidR="00915B26" w:rsidRPr="006853C6">
              <w:rPr>
                <w:rStyle w:val="Hyperlink"/>
                <w:noProof/>
                <w:sz w:val="20"/>
                <w:szCs w:val="20"/>
              </w:rPr>
              <w:t>3.6. Population age</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_Toc124346938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11</w:t>
            </w:r>
            <w:r w:rsidR="00915B26" w:rsidRPr="006853C6">
              <w:rPr>
                <w:noProof/>
                <w:webHidden/>
                <w:sz w:val="20"/>
                <w:szCs w:val="20"/>
              </w:rPr>
              <w:fldChar w:fldCharType="end"/>
            </w:r>
          </w:hyperlink>
        </w:p>
        <w:p w14:paraId="5989E97F" w14:textId="427FA188"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39" w:history="1">
            <w:r w:rsidR="00915B26" w:rsidRPr="006853C6">
              <w:rPr>
                <w:rStyle w:val="Hyperlink"/>
                <w:noProof/>
                <w:sz w:val="20"/>
                <w:szCs w:val="20"/>
              </w:rPr>
              <w:t>3.7. Relative Deprivation</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_Toc124346939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12</w:t>
            </w:r>
            <w:r w:rsidR="00915B26" w:rsidRPr="006853C6">
              <w:rPr>
                <w:noProof/>
                <w:webHidden/>
                <w:sz w:val="20"/>
                <w:szCs w:val="20"/>
              </w:rPr>
              <w:fldChar w:fldCharType="end"/>
            </w:r>
          </w:hyperlink>
        </w:p>
        <w:p w14:paraId="1ACF8AE0" w14:textId="283CA1B7"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0" w:history="1">
            <w:r w:rsidR="00915B26" w:rsidRPr="006853C6">
              <w:rPr>
                <w:rStyle w:val="Hyperlink"/>
                <w:noProof/>
                <w:sz w:val="20"/>
                <w:szCs w:val="20"/>
              </w:rPr>
              <w:t>3.8. Fertility rate</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_Toc124346940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12</w:t>
            </w:r>
            <w:r w:rsidR="00915B26" w:rsidRPr="006853C6">
              <w:rPr>
                <w:noProof/>
                <w:webHidden/>
                <w:sz w:val="20"/>
                <w:szCs w:val="20"/>
              </w:rPr>
              <w:fldChar w:fldCharType="end"/>
            </w:r>
          </w:hyperlink>
        </w:p>
        <w:p w14:paraId="270F6FC5" w14:textId="191CE325"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1" w:history="1">
            <w:r w:rsidR="00915B26" w:rsidRPr="006853C6">
              <w:rPr>
                <w:rStyle w:val="Hyperlink"/>
                <w:noProof/>
                <w:sz w:val="20"/>
                <w:szCs w:val="20"/>
              </w:rPr>
              <w:t>3.9. Further reading about the population of York</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_Toc124346941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12</w:t>
            </w:r>
            <w:r w:rsidR="00915B26" w:rsidRPr="006853C6">
              <w:rPr>
                <w:noProof/>
                <w:webHidden/>
                <w:sz w:val="20"/>
                <w:szCs w:val="20"/>
              </w:rPr>
              <w:fldChar w:fldCharType="end"/>
            </w:r>
          </w:hyperlink>
        </w:p>
        <w:p w14:paraId="163F9B7B" w14:textId="008680F7" w:rsidR="00915B26" w:rsidRPr="006853C6" w:rsidRDefault="00BC29F1" w:rsidP="00B777CD">
          <w:pPr>
            <w:pStyle w:val="TOC1"/>
            <w:tabs>
              <w:tab w:val="right" w:leader="dot" w:pos="9016"/>
            </w:tabs>
            <w:jc w:val="both"/>
            <w:rPr>
              <w:rFonts w:eastAsiaTheme="minorEastAsia"/>
              <w:noProof/>
              <w:sz w:val="20"/>
              <w:szCs w:val="20"/>
              <w:lang w:eastAsia="en-GB"/>
            </w:rPr>
          </w:pPr>
          <w:hyperlink w:anchor="_Toc124346942" w:history="1">
            <w:r w:rsidR="00915B26" w:rsidRPr="006853C6">
              <w:rPr>
                <w:rStyle w:val="Hyperlink"/>
                <w:noProof/>
                <w:sz w:val="20"/>
                <w:szCs w:val="20"/>
              </w:rPr>
              <w:t>4. Sexual health needs in York</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_Toc124346942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13</w:t>
            </w:r>
            <w:r w:rsidR="00915B26" w:rsidRPr="006853C6">
              <w:rPr>
                <w:noProof/>
                <w:webHidden/>
                <w:sz w:val="20"/>
                <w:szCs w:val="20"/>
              </w:rPr>
              <w:fldChar w:fldCharType="end"/>
            </w:r>
          </w:hyperlink>
        </w:p>
        <w:p w14:paraId="213C7907" w14:textId="36D03555"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3" w:history="1">
            <w:r w:rsidR="00915B26" w:rsidRPr="006853C6">
              <w:rPr>
                <w:rStyle w:val="Hyperlink"/>
                <w:noProof/>
                <w:sz w:val="20"/>
                <w:szCs w:val="20"/>
              </w:rPr>
              <w:t>4.1. Age and gender</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_Toc124346943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13</w:t>
            </w:r>
            <w:r w:rsidR="00915B26" w:rsidRPr="006853C6">
              <w:rPr>
                <w:noProof/>
                <w:webHidden/>
                <w:sz w:val="20"/>
                <w:szCs w:val="20"/>
              </w:rPr>
              <w:fldChar w:fldCharType="end"/>
            </w:r>
          </w:hyperlink>
        </w:p>
        <w:p w14:paraId="27FBD5FD" w14:textId="4C37602C"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4" w:history="1">
            <w:r w:rsidR="00915B26" w:rsidRPr="006853C6">
              <w:rPr>
                <w:rStyle w:val="Hyperlink"/>
                <w:noProof/>
                <w:sz w:val="20"/>
                <w:szCs w:val="20"/>
              </w:rPr>
              <w:t>4.2. STIs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_Toc124346944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15</w:t>
            </w:r>
            <w:r w:rsidR="00915B26" w:rsidRPr="006853C6">
              <w:rPr>
                <w:noProof/>
                <w:webHidden/>
                <w:sz w:val="20"/>
                <w:szCs w:val="20"/>
              </w:rPr>
              <w:fldChar w:fldCharType="end"/>
            </w:r>
          </w:hyperlink>
        </w:p>
        <w:p w14:paraId="034D1997" w14:textId="66625239"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5" w:history="1">
            <w:r w:rsidR="00915B26" w:rsidRPr="006853C6">
              <w:rPr>
                <w:rStyle w:val="Hyperlink"/>
                <w:noProof/>
                <w:sz w:val="20"/>
                <w:szCs w:val="20"/>
              </w:rPr>
              <w:t>4.3 Chlamydia</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_Toc124346945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16</w:t>
            </w:r>
            <w:r w:rsidR="00915B26" w:rsidRPr="006853C6">
              <w:rPr>
                <w:noProof/>
                <w:webHidden/>
                <w:sz w:val="20"/>
                <w:szCs w:val="20"/>
              </w:rPr>
              <w:fldChar w:fldCharType="end"/>
            </w:r>
          </w:hyperlink>
        </w:p>
        <w:p w14:paraId="3FDB5EB1" w14:textId="2D843E09"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6" w:history="1">
            <w:r w:rsidR="00915B26" w:rsidRPr="006853C6">
              <w:rPr>
                <w:rStyle w:val="Hyperlink"/>
                <w:noProof/>
                <w:sz w:val="20"/>
                <w:szCs w:val="20"/>
              </w:rPr>
              <w:t>4.4 Chlamydia Detection</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_Toc124346946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18</w:t>
            </w:r>
            <w:r w:rsidR="00915B26" w:rsidRPr="006853C6">
              <w:rPr>
                <w:noProof/>
                <w:webHidden/>
                <w:sz w:val="20"/>
                <w:szCs w:val="20"/>
              </w:rPr>
              <w:fldChar w:fldCharType="end"/>
            </w:r>
          </w:hyperlink>
        </w:p>
        <w:p w14:paraId="5DCC85EA" w14:textId="7471D278"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7" w:history="1">
            <w:r w:rsidR="00915B26" w:rsidRPr="006853C6">
              <w:rPr>
                <w:rStyle w:val="Hyperlink"/>
                <w:noProof/>
                <w:sz w:val="20"/>
                <w:szCs w:val="20"/>
              </w:rPr>
              <w:t>4.5 Gonorrhoea</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_Toc124346947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19</w:t>
            </w:r>
            <w:r w:rsidR="00915B26" w:rsidRPr="006853C6">
              <w:rPr>
                <w:noProof/>
                <w:webHidden/>
                <w:sz w:val="20"/>
                <w:szCs w:val="20"/>
              </w:rPr>
              <w:fldChar w:fldCharType="end"/>
            </w:r>
          </w:hyperlink>
        </w:p>
        <w:p w14:paraId="0A3A5C25" w14:textId="53C88F7D"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8" w:history="1">
            <w:r w:rsidR="00915B26" w:rsidRPr="006853C6">
              <w:rPr>
                <w:rStyle w:val="Hyperlink"/>
                <w:noProof/>
                <w:sz w:val="20"/>
                <w:szCs w:val="20"/>
              </w:rPr>
              <w:t>4.6 Syphilis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_Toc124346948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20</w:t>
            </w:r>
            <w:r w:rsidR="00915B26" w:rsidRPr="006853C6">
              <w:rPr>
                <w:noProof/>
                <w:webHidden/>
                <w:sz w:val="20"/>
                <w:szCs w:val="20"/>
              </w:rPr>
              <w:fldChar w:fldCharType="end"/>
            </w:r>
          </w:hyperlink>
        </w:p>
        <w:p w14:paraId="7BEDADC3" w14:textId="66719974"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49" w:history="1">
            <w:r w:rsidR="00915B26" w:rsidRPr="006853C6">
              <w:rPr>
                <w:rStyle w:val="Hyperlink"/>
                <w:noProof/>
                <w:sz w:val="20"/>
                <w:szCs w:val="20"/>
              </w:rPr>
              <w:t>4.7 Genital Herpes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_Toc124346949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21</w:t>
            </w:r>
            <w:r w:rsidR="00915B26" w:rsidRPr="006853C6">
              <w:rPr>
                <w:noProof/>
                <w:webHidden/>
                <w:sz w:val="20"/>
                <w:szCs w:val="20"/>
              </w:rPr>
              <w:fldChar w:fldCharType="end"/>
            </w:r>
          </w:hyperlink>
        </w:p>
        <w:p w14:paraId="68300620" w14:textId="6CF509C2"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0" w:history="1">
            <w:r w:rsidR="00915B26" w:rsidRPr="006853C6">
              <w:rPr>
                <w:rStyle w:val="Hyperlink"/>
                <w:noProof/>
                <w:sz w:val="20"/>
                <w:szCs w:val="20"/>
              </w:rPr>
              <w:t>4.8 Genital Warts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_Toc124346950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22</w:t>
            </w:r>
            <w:r w:rsidR="00915B26" w:rsidRPr="006853C6">
              <w:rPr>
                <w:noProof/>
                <w:webHidden/>
                <w:sz w:val="20"/>
                <w:szCs w:val="20"/>
              </w:rPr>
              <w:fldChar w:fldCharType="end"/>
            </w:r>
          </w:hyperlink>
        </w:p>
        <w:p w14:paraId="1567F63C" w14:textId="5B99E8ED"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1" w:history="1">
            <w:r w:rsidR="00915B26" w:rsidRPr="006853C6">
              <w:rPr>
                <w:rStyle w:val="Hyperlink"/>
                <w:noProof/>
                <w:sz w:val="20"/>
                <w:szCs w:val="20"/>
              </w:rPr>
              <w:t>4.9 HIV</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_Toc124346951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24</w:t>
            </w:r>
            <w:r w:rsidR="00915B26" w:rsidRPr="006853C6">
              <w:rPr>
                <w:noProof/>
                <w:webHidden/>
                <w:sz w:val="20"/>
                <w:szCs w:val="20"/>
              </w:rPr>
              <w:fldChar w:fldCharType="end"/>
            </w:r>
          </w:hyperlink>
        </w:p>
        <w:p w14:paraId="505E11E5" w14:textId="31E3C70B"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2" w:history="1">
            <w:r w:rsidR="00915B26" w:rsidRPr="006853C6">
              <w:rPr>
                <w:rStyle w:val="Hyperlink"/>
                <w:noProof/>
                <w:sz w:val="20"/>
                <w:szCs w:val="20"/>
                <w:shd w:val="clear" w:color="auto" w:fill="FFFFFF"/>
              </w:rPr>
              <w:t>4.10 Late HIV Diagnosis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_Toc124346952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25</w:t>
            </w:r>
            <w:r w:rsidR="00915B26" w:rsidRPr="006853C6">
              <w:rPr>
                <w:noProof/>
                <w:webHidden/>
                <w:sz w:val="20"/>
                <w:szCs w:val="20"/>
              </w:rPr>
              <w:fldChar w:fldCharType="end"/>
            </w:r>
          </w:hyperlink>
        </w:p>
        <w:p w14:paraId="43E15D93" w14:textId="492C16C2" w:rsidR="00915B26" w:rsidRPr="006853C6" w:rsidRDefault="005D28E5" w:rsidP="00B777CD">
          <w:pPr>
            <w:pStyle w:val="TOC2"/>
            <w:jc w:val="both"/>
            <w:rPr>
              <w:rFonts w:eastAsiaTheme="minorEastAsia"/>
              <w:noProof/>
              <w:sz w:val="20"/>
              <w:szCs w:val="20"/>
              <w:lang w:eastAsia="en-GB"/>
            </w:rPr>
          </w:pPr>
          <w:r w:rsidRPr="006853C6">
            <w:rPr>
              <w:sz w:val="20"/>
              <w:szCs w:val="20"/>
            </w:rPr>
            <w:t xml:space="preserve">    </w:t>
          </w:r>
          <w:r w:rsidR="007B668B">
            <w:rPr>
              <w:sz w:val="20"/>
              <w:szCs w:val="20"/>
            </w:rPr>
            <w:t xml:space="preserve"> </w:t>
          </w:r>
          <w:hyperlink w:anchor="_Toc124346953" w:history="1">
            <w:r w:rsidR="00915B26" w:rsidRPr="006853C6">
              <w:rPr>
                <w:rStyle w:val="Hyperlink"/>
                <w:noProof/>
                <w:sz w:val="20"/>
                <w:szCs w:val="20"/>
              </w:rPr>
              <w:t>4.11 HIV Testing</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_Toc124346953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25</w:t>
            </w:r>
            <w:r w:rsidR="00915B26" w:rsidRPr="006853C6">
              <w:rPr>
                <w:noProof/>
                <w:webHidden/>
                <w:sz w:val="20"/>
                <w:szCs w:val="20"/>
              </w:rPr>
              <w:fldChar w:fldCharType="end"/>
            </w:r>
          </w:hyperlink>
        </w:p>
        <w:p w14:paraId="37CFB302" w14:textId="753B516E"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4" w:history="1">
            <w:r w:rsidR="00915B26" w:rsidRPr="006853C6">
              <w:rPr>
                <w:rStyle w:val="Hyperlink"/>
                <w:noProof/>
                <w:sz w:val="20"/>
                <w:szCs w:val="20"/>
              </w:rPr>
              <w:t>4.12 Mpox</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_Toc124346954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25</w:t>
            </w:r>
            <w:r w:rsidR="00915B26" w:rsidRPr="006853C6">
              <w:rPr>
                <w:noProof/>
                <w:webHidden/>
                <w:sz w:val="20"/>
                <w:szCs w:val="20"/>
              </w:rPr>
              <w:fldChar w:fldCharType="end"/>
            </w:r>
          </w:hyperlink>
        </w:p>
        <w:p w14:paraId="36132F11" w14:textId="61033058"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5" w:history="1">
            <w:r w:rsidR="00915B26" w:rsidRPr="006853C6">
              <w:rPr>
                <w:rStyle w:val="Hyperlink"/>
                <w:noProof/>
                <w:sz w:val="20"/>
                <w:szCs w:val="20"/>
              </w:rPr>
              <w:t>4.13 Sexual Violence</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_Toc124346955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26</w:t>
            </w:r>
            <w:r w:rsidR="00915B26" w:rsidRPr="006853C6">
              <w:rPr>
                <w:noProof/>
                <w:webHidden/>
                <w:sz w:val="20"/>
                <w:szCs w:val="20"/>
              </w:rPr>
              <w:fldChar w:fldCharType="end"/>
            </w:r>
          </w:hyperlink>
        </w:p>
        <w:p w14:paraId="190162C4" w14:textId="79DE47FF" w:rsidR="00915B26" w:rsidRPr="006853C6" w:rsidRDefault="00BC29F1" w:rsidP="00B777CD">
          <w:pPr>
            <w:pStyle w:val="TOC1"/>
            <w:tabs>
              <w:tab w:val="right" w:leader="dot" w:pos="9016"/>
            </w:tabs>
            <w:jc w:val="both"/>
            <w:rPr>
              <w:rFonts w:eastAsiaTheme="minorEastAsia"/>
              <w:noProof/>
              <w:sz w:val="20"/>
              <w:szCs w:val="20"/>
              <w:lang w:eastAsia="en-GB"/>
            </w:rPr>
          </w:pPr>
          <w:hyperlink w:anchor="_Toc124346956" w:history="1">
            <w:r w:rsidR="00915B26" w:rsidRPr="006853C6">
              <w:rPr>
                <w:rStyle w:val="Hyperlink"/>
                <w:noProof/>
                <w:sz w:val="20"/>
                <w:szCs w:val="20"/>
              </w:rPr>
              <w:t>5. Reproductive Health</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_Toc124346956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27</w:t>
            </w:r>
            <w:r w:rsidR="00915B26" w:rsidRPr="006853C6">
              <w:rPr>
                <w:noProof/>
                <w:webHidden/>
                <w:sz w:val="20"/>
                <w:szCs w:val="20"/>
              </w:rPr>
              <w:fldChar w:fldCharType="end"/>
            </w:r>
          </w:hyperlink>
        </w:p>
        <w:p w14:paraId="6536A688" w14:textId="652E96F8"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7" w:history="1">
            <w:r w:rsidR="00915B26" w:rsidRPr="006853C6">
              <w:rPr>
                <w:rStyle w:val="Hyperlink"/>
                <w:noProof/>
                <w:sz w:val="20"/>
                <w:szCs w:val="20"/>
              </w:rPr>
              <w:t>5.1 Cervical Screening</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_Toc124346957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27</w:t>
            </w:r>
            <w:r w:rsidR="00915B26" w:rsidRPr="006853C6">
              <w:rPr>
                <w:noProof/>
                <w:webHidden/>
                <w:sz w:val="20"/>
                <w:szCs w:val="20"/>
              </w:rPr>
              <w:fldChar w:fldCharType="end"/>
            </w:r>
          </w:hyperlink>
        </w:p>
        <w:p w14:paraId="7C9FAB7C" w14:textId="48B26523"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8" w:history="1">
            <w:r w:rsidR="00915B26" w:rsidRPr="006853C6">
              <w:rPr>
                <w:rStyle w:val="Hyperlink"/>
                <w:noProof/>
                <w:sz w:val="20"/>
                <w:szCs w:val="20"/>
              </w:rPr>
              <w:t>5.2 HPV Vaccination</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_Toc124346958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28</w:t>
            </w:r>
            <w:r w:rsidR="00915B26" w:rsidRPr="006853C6">
              <w:rPr>
                <w:noProof/>
                <w:webHidden/>
                <w:sz w:val="20"/>
                <w:szCs w:val="20"/>
              </w:rPr>
              <w:fldChar w:fldCharType="end"/>
            </w:r>
          </w:hyperlink>
        </w:p>
        <w:p w14:paraId="1482AC76" w14:textId="78160709"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59" w:history="1">
            <w:r w:rsidR="00915B26" w:rsidRPr="006853C6">
              <w:rPr>
                <w:rStyle w:val="Hyperlink"/>
                <w:noProof/>
                <w:sz w:val="20"/>
                <w:szCs w:val="20"/>
              </w:rPr>
              <w:t>5.3 Unplanned pregnancy</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_Toc124346959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29</w:t>
            </w:r>
            <w:r w:rsidR="00915B26" w:rsidRPr="006853C6">
              <w:rPr>
                <w:noProof/>
                <w:webHidden/>
                <w:sz w:val="20"/>
                <w:szCs w:val="20"/>
              </w:rPr>
              <w:fldChar w:fldCharType="end"/>
            </w:r>
          </w:hyperlink>
        </w:p>
        <w:p w14:paraId="741EDA72" w14:textId="141EC7BE"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60" w:history="1">
            <w:r w:rsidR="00915B26" w:rsidRPr="006853C6">
              <w:rPr>
                <w:rStyle w:val="Hyperlink"/>
                <w:noProof/>
                <w:sz w:val="20"/>
                <w:szCs w:val="20"/>
              </w:rPr>
              <w:t>5.4 Abortion</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_Toc124346960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30</w:t>
            </w:r>
            <w:r w:rsidR="00915B26" w:rsidRPr="006853C6">
              <w:rPr>
                <w:noProof/>
                <w:webHidden/>
                <w:sz w:val="20"/>
                <w:szCs w:val="20"/>
              </w:rPr>
              <w:fldChar w:fldCharType="end"/>
            </w:r>
          </w:hyperlink>
        </w:p>
        <w:p w14:paraId="5EAF2E5D" w14:textId="0AF661F2"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61" w:history="1">
            <w:r w:rsidR="00915B26" w:rsidRPr="006853C6">
              <w:rPr>
                <w:rStyle w:val="Hyperlink"/>
                <w:noProof/>
                <w:sz w:val="20"/>
                <w:szCs w:val="20"/>
              </w:rPr>
              <w:t>5.5 Long-Acting Reversible Contraception</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_Toc124346961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30</w:t>
            </w:r>
            <w:r w:rsidR="00915B26" w:rsidRPr="006853C6">
              <w:rPr>
                <w:noProof/>
                <w:webHidden/>
                <w:sz w:val="20"/>
                <w:szCs w:val="20"/>
              </w:rPr>
              <w:fldChar w:fldCharType="end"/>
            </w:r>
          </w:hyperlink>
        </w:p>
        <w:p w14:paraId="019295CF" w14:textId="50422F31" w:rsidR="00915B26" w:rsidRPr="006853C6" w:rsidRDefault="00BC29F1" w:rsidP="00B777CD">
          <w:pPr>
            <w:pStyle w:val="TOC3"/>
            <w:tabs>
              <w:tab w:val="right" w:leader="dot" w:pos="9016"/>
            </w:tabs>
            <w:jc w:val="both"/>
            <w:rPr>
              <w:rFonts w:eastAsiaTheme="minorEastAsia"/>
              <w:noProof/>
              <w:sz w:val="20"/>
              <w:szCs w:val="20"/>
              <w:lang w:eastAsia="en-GB"/>
            </w:rPr>
          </w:pPr>
          <w:hyperlink w:anchor="_Toc124346962" w:history="1">
            <w:r w:rsidR="00915B26" w:rsidRPr="006853C6">
              <w:rPr>
                <w:rStyle w:val="Hyperlink"/>
                <w:noProof/>
                <w:sz w:val="20"/>
                <w:szCs w:val="20"/>
              </w:rPr>
              <w:t>5.6 Teenage Conception and Parenthood</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_Toc124346962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31</w:t>
            </w:r>
            <w:r w:rsidR="00915B26" w:rsidRPr="006853C6">
              <w:rPr>
                <w:noProof/>
                <w:webHidden/>
                <w:sz w:val="20"/>
                <w:szCs w:val="20"/>
              </w:rPr>
              <w:fldChar w:fldCharType="end"/>
            </w:r>
          </w:hyperlink>
        </w:p>
        <w:p w14:paraId="6F89C884" w14:textId="18641804" w:rsidR="00915B26" w:rsidRPr="006853C6" w:rsidRDefault="00BC29F1" w:rsidP="00B777CD">
          <w:pPr>
            <w:pStyle w:val="TOC1"/>
            <w:tabs>
              <w:tab w:val="right" w:leader="dot" w:pos="9016"/>
            </w:tabs>
            <w:jc w:val="both"/>
            <w:rPr>
              <w:rFonts w:eastAsiaTheme="minorEastAsia"/>
              <w:noProof/>
              <w:sz w:val="20"/>
              <w:szCs w:val="20"/>
              <w:lang w:eastAsia="en-GB"/>
            </w:rPr>
          </w:pPr>
          <w:hyperlink w:anchor="_Toc124346963" w:history="1">
            <w:r w:rsidR="00915B26" w:rsidRPr="006853C6">
              <w:rPr>
                <w:rStyle w:val="Hyperlink"/>
                <w:noProof/>
                <w:sz w:val="20"/>
                <w:szCs w:val="20"/>
              </w:rPr>
              <w:t>6. Integrated Sexual Health Service Use</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_Toc124346963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34</w:t>
            </w:r>
            <w:r w:rsidR="00915B26" w:rsidRPr="006853C6">
              <w:rPr>
                <w:noProof/>
                <w:webHidden/>
                <w:sz w:val="20"/>
                <w:szCs w:val="20"/>
              </w:rPr>
              <w:fldChar w:fldCharType="end"/>
            </w:r>
          </w:hyperlink>
        </w:p>
        <w:p w14:paraId="13DE5124" w14:textId="523314A4" w:rsidR="00915B26" w:rsidRPr="006853C6" w:rsidRDefault="00BC29F1" w:rsidP="00B777CD">
          <w:pPr>
            <w:pStyle w:val="TOC1"/>
            <w:tabs>
              <w:tab w:val="right" w:leader="dot" w:pos="9016"/>
            </w:tabs>
            <w:jc w:val="both"/>
            <w:rPr>
              <w:rFonts w:eastAsiaTheme="minorEastAsia"/>
              <w:noProof/>
              <w:sz w:val="20"/>
              <w:szCs w:val="20"/>
              <w:lang w:eastAsia="en-GB"/>
            </w:rPr>
          </w:pPr>
          <w:hyperlink w:anchor="_Toc124346964" w:history="1">
            <w:r w:rsidR="00915B26" w:rsidRPr="006853C6">
              <w:rPr>
                <w:rStyle w:val="Hyperlink"/>
                <w:noProof/>
                <w:sz w:val="20"/>
                <w:szCs w:val="20"/>
              </w:rPr>
              <w:t>7. Recommendations</w:t>
            </w:r>
            <w:r w:rsidR="00915B26" w:rsidRPr="006853C6">
              <w:rPr>
                <w:noProof/>
                <w:webHidden/>
                <w:sz w:val="20"/>
                <w:szCs w:val="20"/>
              </w:rPr>
              <w:tab/>
            </w:r>
            <w:r w:rsidR="00915B26" w:rsidRPr="006853C6">
              <w:rPr>
                <w:noProof/>
                <w:webHidden/>
                <w:sz w:val="20"/>
                <w:szCs w:val="20"/>
              </w:rPr>
              <w:fldChar w:fldCharType="begin"/>
            </w:r>
            <w:r w:rsidR="00915B26" w:rsidRPr="006853C6">
              <w:rPr>
                <w:noProof/>
                <w:webHidden/>
                <w:sz w:val="20"/>
                <w:szCs w:val="20"/>
              </w:rPr>
              <w:instrText xml:space="preserve"> PAGEREF _Toc124346964 \h </w:instrText>
            </w:r>
            <w:r w:rsidR="00915B26" w:rsidRPr="006853C6">
              <w:rPr>
                <w:noProof/>
                <w:webHidden/>
                <w:sz w:val="20"/>
                <w:szCs w:val="20"/>
              </w:rPr>
            </w:r>
            <w:r w:rsidR="00915B26" w:rsidRPr="006853C6">
              <w:rPr>
                <w:noProof/>
                <w:webHidden/>
                <w:sz w:val="20"/>
                <w:szCs w:val="20"/>
              </w:rPr>
              <w:fldChar w:fldCharType="separate"/>
            </w:r>
            <w:r w:rsidR="00915B26" w:rsidRPr="006853C6">
              <w:rPr>
                <w:noProof/>
                <w:webHidden/>
                <w:sz w:val="20"/>
                <w:szCs w:val="20"/>
              </w:rPr>
              <w:t>36</w:t>
            </w:r>
            <w:r w:rsidR="00915B26" w:rsidRPr="006853C6">
              <w:rPr>
                <w:noProof/>
                <w:webHidden/>
                <w:sz w:val="20"/>
                <w:szCs w:val="20"/>
              </w:rPr>
              <w:fldChar w:fldCharType="end"/>
            </w:r>
          </w:hyperlink>
        </w:p>
        <w:p w14:paraId="4DFAF58B" w14:textId="52DB815B" w:rsidR="00DD7D30" w:rsidRDefault="00DD7D30" w:rsidP="00B777CD">
          <w:pPr>
            <w:jc w:val="both"/>
            <w:rPr>
              <w:b/>
              <w:bCs/>
              <w:noProof/>
            </w:rPr>
          </w:pPr>
          <w:r w:rsidRPr="006853C6">
            <w:rPr>
              <w:b/>
              <w:bCs/>
              <w:noProof/>
              <w:sz w:val="20"/>
              <w:szCs w:val="20"/>
            </w:rPr>
            <w:fldChar w:fldCharType="end"/>
          </w:r>
        </w:p>
      </w:sdtContent>
    </w:sdt>
    <w:p w14:paraId="4D0BFFD4" w14:textId="77777777" w:rsidR="00DD7D30" w:rsidRPr="00A836D3" w:rsidRDefault="00DD7D30" w:rsidP="00B777CD">
      <w:pPr>
        <w:pStyle w:val="Heading1"/>
        <w:jc w:val="both"/>
      </w:pPr>
      <w:bookmarkStart w:id="0" w:name="_Toc124346929"/>
      <w:r>
        <w:lastRenderedPageBreak/>
        <w:t>Glossary</w:t>
      </w:r>
      <w:bookmarkEnd w:id="0"/>
    </w:p>
    <w:p w14:paraId="6062576F" w14:textId="77777777" w:rsidR="00DD7D30" w:rsidRDefault="00DD7D30" w:rsidP="00B777CD">
      <w:pPr>
        <w:jc w:val="both"/>
        <w:rPr>
          <w:rFonts w:ascii="Arial" w:hAnsi="Arial" w:cs="Arial"/>
          <w:sz w:val="28"/>
          <w:szCs w:val="28"/>
        </w:rPr>
      </w:pPr>
      <w:r w:rsidRPr="00754C3E">
        <w:rPr>
          <w:rFonts w:ascii="Arial" w:hAnsi="Arial" w:cs="Arial"/>
          <w:sz w:val="28"/>
          <w:szCs w:val="28"/>
        </w:rPr>
        <w:t xml:space="preserve">AIDS </w:t>
      </w:r>
      <w:r>
        <w:rPr>
          <w:rFonts w:ascii="Arial" w:hAnsi="Arial" w:cs="Arial"/>
          <w:sz w:val="28"/>
          <w:szCs w:val="28"/>
        </w:rPr>
        <w:t>–</w:t>
      </w:r>
      <w:r w:rsidRPr="00754C3E">
        <w:rPr>
          <w:rFonts w:ascii="Arial" w:hAnsi="Arial" w:cs="Arial"/>
          <w:sz w:val="28"/>
          <w:szCs w:val="28"/>
        </w:rPr>
        <w:t xml:space="preserve"> </w:t>
      </w:r>
      <w:r>
        <w:rPr>
          <w:rFonts w:ascii="Arial" w:hAnsi="Arial" w:cs="Arial"/>
          <w:sz w:val="28"/>
          <w:szCs w:val="28"/>
        </w:rPr>
        <w:t>acquired immune deficiency syndrome</w:t>
      </w:r>
    </w:p>
    <w:p w14:paraId="37C11AFC" w14:textId="77777777" w:rsidR="00DD7D30" w:rsidRDefault="00DD7D30" w:rsidP="00B777CD">
      <w:pPr>
        <w:jc w:val="both"/>
        <w:rPr>
          <w:rFonts w:ascii="Arial" w:hAnsi="Arial" w:cs="Arial"/>
          <w:sz w:val="28"/>
          <w:szCs w:val="28"/>
        </w:rPr>
      </w:pPr>
      <w:r>
        <w:rPr>
          <w:rFonts w:ascii="Arial" w:hAnsi="Arial" w:cs="Arial"/>
          <w:sz w:val="28"/>
          <w:szCs w:val="28"/>
        </w:rPr>
        <w:t>BASHH – British Association for Sexual Health and HIV</w:t>
      </w:r>
    </w:p>
    <w:p w14:paraId="06351156" w14:textId="77777777" w:rsidR="00DD7D30" w:rsidRDefault="00DD7D30" w:rsidP="00B777CD">
      <w:pPr>
        <w:jc w:val="both"/>
        <w:rPr>
          <w:rFonts w:ascii="Arial" w:hAnsi="Arial" w:cs="Arial"/>
          <w:sz w:val="28"/>
          <w:szCs w:val="28"/>
        </w:rPr>
      </w:pPr>
      <w:r>
        <w:rPr>
          <w:rFonts w:ascii="Arial" w:hAnsi="Arial" w:cs="Arial"/>
          <w:sz w:val="28"/>
          <w:szCs w:val="28"/>
        </w:rPr>
        <w:t>BPAS- British Pregnancy Advisory Service</w:t>
      </w:r>
    </w:p>
    <w:p w14:paraId="3CE6D746" w14:textId="77777777" w:rsidR="00DD7D30" w:rsidRDefault="00DD7D30" w:rsidP="00B777CD">
      <w:pPr>
        <w:jc w:val="both"/>
        <w:rPr>
          <w:rFonts w:ascii="Arial" w:hAnsi="Arial" w:cs="Arial"/>
          <w:sz w:val="28"/>
          <w:szCs w:val="28"/>
        </w:rPr>
      </w:pPr>
      <w:r>
        <w:rPr>
          <w:rFonts w:ascii="Arial" w:hAnsi="Arial" w:cs="Arial"/>
          <w:sz w:val="28"/>
          <w:szCs w:val="28"/>
        </w:rPr>
        <w:t>GUM – genitourinary medicine</w:t>
      </w:r>
    </w:p>
    <w:p w14:paraId="7EDD79C2" w14:textId="77777777" w:rsidR="00DD7D30" w:rsidRDefault="00DD7D30" w:rsidP="00B777CD">
      <w:pPr>
        <w:jc w:val="both"/>
        <w:rPr>
          <w:rFonts w:ascii="Arial" w:hAnsi="Arial" w:cs="Arial"/>
          <w:sz w:val="28"/>
          <w:szCs w:val="28"/>
        </w:rPr>
      </w:pPr>
      <w:r>
        <w:rPr>
          <w:rFonts w:ascii="Arial" w:hAnsi="Arial" w:cs="Arial"/>
          <w:sz w:val="28"/>
          <w:szCs w:val="28"/>
        </w:rPr>
        <w:t>HIV – human immunodeficiency virus</w:t>
      </w:r>
    </w:p>
    <w:p w14:paraId="119505CF" w14:textId="77777777" w:rsidR="00DD7D30" w:rsidRDefault="00DD7D30" w:rsidP="00B777CD">
      <w:pPr>
        <w:jc w:val="both"/>
        <w:rPr>
          <w:rFonts w:ascii="Arial" w:hAnsi="Arial" w:cs="Arial"/>
          <w:sz w:val="28"/>
          <w:szCs w:val="28"/>
        </w:rPr>
      </w:pPr>
      <w:r>
        <w:rPr>
          <w:rFonts w:ascii="Arial" w:hAnsi="Arial" w:cs="Arial"/>
          <w:sz w:val="28"/>
          <w:szCs w:val="28"/>
        </w:rPr>
        <w:t>HNA – health needs assessment</w:t>
      </w:r>
    </w:p>
    <w:p w14:paraId="1D0C9345" w14:textId="77777777" w:rsidR="00DD7D30" w:rsidRDefault="00DD7D30" w:rsidP="00B777CD">
      <w:pPr>
        <w:jc w:val="both"/>
        <w:rPr>
          <w:rFonts w:ascii="Arial" w:hAnsi="Arial" w:cs="Arial"/>
          <w:sz w:val="28"/>
          <w:szCs w:val="28"/>
        </w:rPr>
      </w:pPr>
      <w:r>
        <w:rPr>
          <w:rFonts w:ascii="Arial" w:hAnsi="Arial" w:cs="Arial"/>
          <w:sz w:val="28"/>
          <w:szCs w:val="28"/>
        </w:rPr>
        <w:t>IUD – intra-uterine device</w:t>
      </w:r>
    </w:p>
    <w:p w14:paraId="067A72F8" w14:textId="77777777" w:rsidR="00DD7D30" w:rsidRDefault="00DD7D30" w:rsidP="00B777CD">
      <w:pPr>
        <w:jc w:val="both"/>
        <w:rPr>
          <w:rFonts w:ascii="Arial" w:hAnsi="Arial" w:cs="Arial"/>
          <w:sz w:val="28"/>
          <w:szCs w:val="28"/>
        </w:rPr>
      </w:pPr>
      <w:r>
        <w:rPr>
          <w:rFonts w:ascii="Arial" w:hAnsi="Arial" w:cs="Arial"/>
          <w:sz w:val="28"/>
          <w:szCs w:val="28"/>
        </w:rPr>
        <w:t>IUS – intra-uterine system</w:t>
      </w:r>
    </w:p>
    <w:p w14:paraId="229950B6" w14:textId="77777777" w:rsidR="00DD7D30" w:rsidRDefault="00DD7D30" w:rsidP="00B777CD">
      <w:pPr>
        <w:jc w:val="both"/>
        <w:rPr>
          <w:rFonts w:ascii="Arial" w:hAnsi="Arial" w:cs="Arial"/>
          <w:sz w:val="28"/>
          <w:szCs w:val="28"/>
        </w:rPr>
      </w:pPr>
      <w:r>
        <w:rPr>
          <w:rFonts w:ascii="Arial" w:hAnsi="Arial" w:cs="Arial"/>
          <w:sz w:val="28"/>
          <w:szCs w:val="28"/>
        </w:rPr>
        <w:t>LA – local authority</w:t>
      </w:r>
    </w:p>
    <w:p w14:paraId="6EBA2DEE" w14:textId="77777777" w:rsidR="00DD7D30" w:rsidRDefault="00DD7D30" w:rsidP="00B777CD">
      <w:pPr>
        <w:jc w:val="both"/>
        <w:rPr>
          <w:rFonts w:ascii="Arial" w:hAnsi="Arial" w:cs="Arial"/>
          <w:sz w:val="28"/>
          <w:szCs w:val="28"/>
        </w:rPr>
      </w:pPr>
      <w:r>
        <w:rPr>
          <w:rFonts w:ascii="Arial" w:hAnsi="Arial" w:cs="Arial"/>
          <w:sz w:val="28"/>
          <w:szCs w:val="28"/>
        </w:rPr>
        <w:t>LARC – long-acting reversible contraception</w:t>
      </w:r>
    </w:p>
    <w:p w14:paraId="7780FF2A" w14:textId="77777777" w:rsidR="00DD7D30" w:rsidRDefault="00DD7D30" w:rsidP="00B777CD">
      <w:pPr>
        <w:jc w:val="both"/>
        <w:rPr>
          <w:rFonts w:ascii="Arial" w:hAnsi="Arial" w:cs="Arial"/>
          <w:sz w:val="28"/>
          <w:szCs w:val="28"/>
        </w:rPr>
      </w:pPr>
      <w:r>
        <w:rPr>
          <w:rFonts w:ascii="Arial" w:hAnsi="Arial" w:cs="Arial"/>
          <w:sz w:val="28"/>
          <w:szCs w:val="28"/>
        </w:rPr>
        <w:t>LSOA – lower layer super output area</w:t>
      </w:r>
    </w:p>
    <w:p w14:paraId="2AC9EA44" w14:textId="77777777" w:rsidR="00DD7D30" w:rsidRDefault="00DD7D30" w:rsidP="00B777CD">
      <w:pPr>
        <w:jc w:val="both"/>
        <w:rPr>
          <w:rFonts w:ascii="Arial" w:hAnsi="Arial" w:cs="Arial"/>
          <w:sz w:val="28"/>
          <w:szCs w:val="28"/>
        </w:rPr>
      </w:pPr>
      <w:r>
        <w:rPr>
          <w:rFonts w:ascii="Arial" w:hAnsi="Arial" w:cs="Arial"/>
          <w:sz w:val="28"/>
          <w:szCs w:val="28"/>
        </w:rPr>
        <w:t xml:space="preserve">MPX – </w:t>
      </w:r>
      <w:proofErr w:type="spellStart"/>
      <w:r>
        <w:rPr>
          <w:rFonts w:ascii="Arial" w:hAnsi="Arial" w:cs="Arial"/>
          <w:sz w:val="28"/>
          <w:szCs w:val="28"/>
        </w:rPr>
        <w:t>mpox</w:t>
      </w:r>
      <w:proofErr w:type="spellEnd"/>
      <w:r>
        <w:rPr>
          <w:rFonts w:ascii="Arial" w:hAnsi="Arial" w:cs="Arial"/>
          <w:sz w:val="28"/>
          <w:szCs w:val="28"/>
        </w:rPr>
        <w:t>, formerly known as monkeypox</w:t>
      </w:r>
    </w:p>
    <w:p w14:paraId="1F2CFDDC" w14:textId="77777777" w:rsidR="00DD7D30" w:rsidRDefault="00DD7D30" w:rsidP="00B777CD">
      <w:pPr>
        <w:jc w:val="both"/>
        <w:rPr>
          <w:rFonts w:ascii="Arial" w:hAnsi="Arial" w:cs="Arial"/>
          <w:sz w:val="28"/>
          <w:szCs w:val="28"/>
        </w:rPr>
      </w:pPr>
      <w:r>
        <w:rPr>
          <w:rFonts w:ascii="Arial" w:hAnsi="Arial" w:cs="Arial"/>
          <w:sz w:val="28"/>
          <w:szCs w:val="28"/>
        </w:rPr>
        <w:t>MSOA – middle layer super output area</w:t>
      </w:r>
    </w:p>
    <w:p w14:paraId="1C139B85" w14:textId="77777777" w:rsidR="00DD7D30" w:rsidRDefault="00DD7D30" w:rsidP="00B777CD">
      <w:pPr>
        <w:jc w:val="both"/>
        <w:rPr>
          <w:rFonts w:ascii="Arial" w:hAnsi="Arial" w:cs="Arial"/>
          <w:sz w:val="28"/>
          <w:szCs w:val="28"/>
        </w:rPr>
      </w:pPr>
      <w:r>
        <w:rPr>
          <w:rFonts w:ascii="Arial" w:hAnsi="Arial" w:cs="Arial"/>
          <w:sz w:val="28"/>
          <w:szCs w:val="28"/>
        </w:rPr>
        <w:t>MSM – men who have sex with men</w:t>
      </w:r>
    </w:p>
    <w:p w14:paraId="3741F271" w14:textId="77777777" w:rsidR="00DD7D30" w:rsidRDefault="00DD7D30" w:rsidP="00B777CD">
      <w:pPr>
        <w:jc w:val="both"/>
        <w:rPr>
          <w:rFonts w:ascii="Arial" w:hAnsi="Arial" w:cs="Arial"/>
          <w:sz w:val="28"/>
          <w:szCs w:val="28"/>
        </w:rPr>
      </w:pPr>
      <w:r>
        <w:rPr>
          <w:rFonts w:ascii="Arial" w:hAnsi="Arial" w:cs="Arial"/>
          <w:sz w:val="28"/>
          <w:szCs w:val="28"/>
        </w:rPr>
        <w:t xml:space="preserve">NEET – not in education, </w:t>
      </w:r>
      <w:proofErr w:type="gramStart"/>
      <w:r>
        <w:rPr>
          <w:rFonts w:ascii="Arial" w:hAnsi="Arial" w:cs="Arial"/>
          <w:sz w:val="28"/>
          <w:szCs w:val="28"/>
        </w:rPr>
        <w:t>employment</w:t>
      </w:r>
      <w:proofErr w:type="gramEnd"/>
      <w:r>
        <w:rPr>
          <w:rFonts w:ascii="Arial" w:hAnsi="Arial" w:cs="Arial"/>
          <w:sz w:val="28"/>
          <w:szCs w:val="28"/>
        </w:rPr>
        <w:t xml:space="preserve"> or training</w:t>
      </w:r>
    </w:p>
    <w:p w14:paraId="77FEAA92" w14:textId="77777777" w:rsidR="00DD7D30" w:rsidRDefault="00DD7D30" w:rsidP="00B777CD">
      <w:pPr>
        <w:jc w:val="both"/>
        <w:rPr>
          <w:rFonts w:ascii="Arial" w:hAnsi="Arial" w:cs="Arial"/>
          <w:sz w:val="28"/>
          <w:szCs w:val="28"/>
        </w:rPr>
      </w:pPr>
      <w:r>
        <w:rPr>
          <w:rFonts w:ascii="Arial" w:hAnsi="Arial" w:cs="Arial"/>
          <w:sz w:val="28"/>
          <w:szCs w:val="28"/>
        </w:rPr>
        <w:t>NICE – National Institute for Health &amp; Care Excellence</w:t>
      </w:r>
    </w:p>
    <w:p w14:paraId="7FE294DA" w14:textId="77777777" w:rsidR="00DD7D30" w:rsidRDefault="00DD7D30" w:rsidP="00B777CD">
      <w:pPr>
        <w:jc w:val="both"/>
        <w:rPr>
          <w:rFonts w:ascii="Arial" w:hAnsi="Arial" w:cs="Arial"/>
          <w:sz w:val="28"/>
          <w:szCs w:val="28"/>
        </w:rPr>
      </w:pPr>
      <w:r>
        <w:rPr>
          <w:rFonts w:ascii="Arial" w:hAnsi="Arial" w:cs="Arial"/>
          <w:sz w:val="28"/>
          <w:szCs w:val="28"/>
        </w:rPr>
        <w:t>OHID – Office of Health Improvements and Disparities</w:t>
      </w:r>
    </w:p>
    <w:p w14:paraId="32756C1A" w14:textId="77777777" w:rsidR="00DD7D30" w:rsidRDefault="00DD7D30" w:rsidP="00B777CD">
      <w:pPr>
        <w:jc w:val="both"/>
        <w:rPr>
          <w:rFonts w:ascii="Arial" w:hAnsi="Arial" w:cs="Arial"/>
          <w:sz w:val="28"/>
          <w:szCs w:val="28"/>
        </w:rPr>
      </w:pPr>
      <w:r>
        <w:rPr>
          <w:rFonts w:ascii="Arial" w:hAnsi="Arial" w:cs="Arial"/>
          <w:sz w:val="28"/>
          <w:szCs w:val="28"/>
        </w:rPr>
        <w:t>ONS – Office of National Statistics</w:t>
      </w:r>
    </w:p>
    <w:p w14:paraId="5DC0F37E" w14:textId="77777777" w:rsidR="00DD7D30" w:rsidRDefault="00DD7D30" w:rsidP="00B777CD">
      <w:pPr>
        <w:jc w:val="both"/>
        <w:rPr>
          <w:rFonts w:ascii="Arial" w:hAnsi="Arial" w:cs="Arial"/>
          <w:sz w:val="28"/>
          <w:szCs w:val="28"/>
        </w:rPr>
      </w:pPr>
      <w:r>
        <w:rPr>
          <w:rFonts w:ascii="Arial" w:hAnsi="Arial" w:cs="Arial"/>
          <w:sz w:val="28"/>
          <w:szCs w:val="28"/>
        </w:rPr>
        <w:t xml:space="preserve">PHEIC – Public Health Emergency of International Concern </w:t>
      </w:r>
    </w:p>
    <w:p w14:paraId="4E49FEA4" w14:textId="77777777" w:rsidR="00DD7D30" w:rsidRDefault="00DD7D30" w:rsidP="00B777CD">
      <w:pPr>
        <w:jc w:val="both"/>
        <w:rPr>
          <w:rFonts w:ascii="Arial" w:hAnsi="Arial" w:cs="Arial"/>
          <w:sz w:val="28"/>
          <w:szCs w:val="28"/>
        </w:rPr>
      </w:pPr>
      <w:r>
        <w:rPr>
          <w:rFonts w:ascii="Arial" w:hAnsi="Arial" w:cs="Arial"/>
          <w:sz w:val="28"/>
          <w:szCs w:val="28"/>
        </w:rPr>
        <w:t>PHI – Public Health Intelligence</w:t>
      </w:r>
    </w:p>
    <w:p w14:paraId="07BAB991" w14:textId="77777777" w:rsidR="00DD7D30" w:rsidRDefault="00DD7D30" w:rsidP="00B777CD">
      <w:pPr>
        <w:jc w:val="both"/>
        <w:rPr>
          <w:rFonts w:ascii="Arial" w:hAnsi="Arial" w:cs="Arial"/>
          <w:sz w:val="28"/>
          <w:szCs w:val="28"/>
        </w:rPr>
      </w:pPr>
      <w:r>
        <w:rPr>
          <w:rFonts w:ascii="Arial" w:hAnsi="Arial" w:cs="Arial"/>
          <w:sz w:val="28"/>
          <w:szCs w:val="28"/>
        </w:rPr>
        <w:t>PHOF – Public Health Outcome Framework</w:t>
      </w:r>
    </w:p>
    <w:p w14:paraId="216D96F1" w14:textId="77777777" w:rsidR="00DD7D30" w:rsidRDefault="00DD7D30" w:rsidP="00B777CD">
      <w:pPr>
        <w:jc w:val="both"/>
        <w:rPr>
          <w:rFonts w:ascii="Arial" w:hAnsi="Arial" w:cs="Arial"/>
          <w:sz w:val="28"/>
          <w:szCs w:val="28"/>
        </w:rPr>
      </w:pPr>
      <w:r>
        <w:rPr>
          <w:rFonts w:ascii="Arial" w:hAnsi="Arial" w:cs="Arial"/>
          <w:sz w:val="28"/>
          <w:szCs w:val="28"/>
        </w:rPr>
        <w:t>PEP – Post-exposure prophylaxis</w:t>
      </w:r>
    </w:p>
    <w:p w14:paraId="044455ED" w14:textId="77777777" w:rsidR="00DD7D30" w:rsidRDefault="00DD7D30" w:rsidP="00B777CD">
      <w:pPr>
        <w:jc w:val="both"/>
        <w:rPr>
          <w:rFonts w:ascii="Arial" w:hAnsi="Arial" w:cs="Arial"/>
          <w:sz w:val="28"/>
          <w:szCs w:val="28"/>
        </w:rPr>
      </w:pPr>
      <w:r>
        <w:rPr>
          <w:rFonts w:ascii="Arial" w:hAnsi="Arial" w:cs="Arial"/>
          <w:sz w:val="28"/>
          <w:szCs w:val="28"/>
        </w:rPr>
        <w:t>PEPSE – Post-Exposure Prophylaxis following Sexual Exposure</w:t>
      </w:r>
    </w:p>
    <w:p w14:paraId="4CA10551" w14:textId="77777777" w:rsidR="00DD7D30" w:rsidRDefault="00DD7D30" w:rsidP="00B777CD">
      <w:pPr>
        <w:jc w:val="both"/>
        <w:rPr>
          <w:rFonts w:ascii="Arial" w:hAnsi="Arial" w:cs="Arial"/>
          <w:sz w:val="28"/>
          <w:szCs w:val="28"/>
        </w:rPr>
      </w:pPr>
      <w:proofErr w:type="spellStart"/>
      <w:r>
        <w:rPr>
          <w:rFonts w:ascii="Arial" w:hAnsi="Arial" w:cs="Arial"/>
          <w:sz w:val="28"/>
          <w:szCs w:val="28"/>
        </w:rPr>
        <w:t>PrEP</w:t>
      </w:r>
      <w:proofErr w:type="spellEnd"/>
      <w:r>
        <w:rPr>
          <w:rFonts w:ascii="Arial" w:hAnsi="Arial" w:cs="Arial"/>
          <w:sz w:val="28"/>
          <w:szCs w:val="28"/>
        </w:rPr>
        <w:t xml:space="preserve"> – Pre-exposure prophylaxis</w:t>
      </w:r>
    </w:p>
    <w:p w14:paraId="5855D24F" w14:textId="77777777" w:rsidR="00DD7D30" w:rsidRDefault="00DD7D30" w:rsidP="00B777CD">
      <w:pPr>
        <w:jc w:val="both"/>
        <w:rPr>
          <w:rFonts w:ascii="Arial" w:hAnsi="Arial" w:cs="Arial"/>
          <w:sz w:val="28"/>
          <w:szCs w:val="28"/>
        </w:rPr>
      </w:pPr>
      <w:r>
        <w:rPr>
          <w:rFonts w:ascii="Arial" w:hAnsi="Arial" w:cs="Arial"/>
          <w:sz w:val="28"/>
          <w:szCs w:val="28"/>
        </w:rPr>
        <w:t>SEND – special educational needs and disabilities</w:t>
      </w:r>
    </w:p>
    <w:p w14:paraId="6F721164" w14:textId="77777777" w:rsidR="00DD7D30" w:rsidRDefault="00DD7D30" w:rsidP="00B777CD">
      <w:pPr>
        <w:jc w:val="both"/>
        <w:rPr>
          <w:rFonts w:ascii="Arial" w:hAnsi="Arial" w:cs="Arial"/>
          <w:sz w:val="28"/>
          <w:szCs w:val="28"/>
        </w:rPr>
      </w:pPr>
      <w:r>
        <w:rPr>
          <w:rFonts w:ascii="Arial" w:hAnsi="Arial" w:cs="Arial"/>
          <w:sz w:val="28"/>
          <w:szCs w:val="28"/>
        </w:rPr>
        <w:t>STI – sexually transmitted infection</w:t>
      </w:r>
    </w:p>
    <w:p w14:paraId="06120A5D" w14:textId="77777777" w:rsidR="00DD7D30" w:rsidRPr="0016077A" w:rsidRDefault="00DD7D30" w:rsidP="00B777CD">
      <w:pPr>
        <w:jc w:val="both"/>
        <w:rPr>
          <w:rFonts w:ascii="Arial" w:hAnsi="Arial" w:cs="Arial"/>
          <w:sz w:val="28"/>
          <w:szCs w:val="28"/>
        </w:rPr>
      </w:pPr>
      <w:r>
        <w:rPr>
          <w:rFonts w:ascii="Arial" w:hAnsi="Arial" w:cs="Arial"/>
          <w:sz w:val="28"/>
          <w:szCs w:val="28"/>
        </w:rPr>
        <w:t>UKHSA- UK Health Security Agency</w:t>
      </w:r>
    </w:p>
    <w:p w14:paraId="4E35B8EE" w14:textId="77777777" w:rsidR="00DD7D30" w:rsidRPr="0016077A" w:rsidRDefault="00DD7D30" w:rsidP="00B777CD">
      <w:pPr>
        <w:pStyle w:val="Heading1"/>
        <w:numPr>
          <w:ilvl w:val="0"/>
          <w:numId w:val="3"/>
        </w:numPr>
        <w:tabs>
          <w:tab w:val="num" w:pos="360"/>
        </w:tabs>
        <w:ind w:left="0" w:firstLine="0"/>
        <w:jc w:val="both"/>
        <w:rPr>
          <w:rFonts w:ascii="Arial" w:hAnsi="Arial" w:cs="Arial"/>
          <w:color w:val="222222"/>
          <w:sz w:val="28"/>
          <w:szCs w:val="28"/>
        </w:rPr>
      </w:pPr>
      <w:bookmarkStart w:id="1" w:name="_Toc124346930"/>
      <w:r w:rsidRPr="0016077A">
        <w:lastRenderedPageBreak/>
        <w:t>Executive Summary and Key Findings</w:t>
      </w:r>
      <w:bookmarkEnd w:id="1"/>
    </w:p>
    <w:p w14:paraId="7E046F41" w14:textId="77777777" w:rsidR="00DD7D30" w:rsidRPr="009369EF" w:rsidRDefault="00DD7D30" w:rsidP="00B777CD">
      <w:pPr>
        <w:jc w:val="both"/>
        <w:rPr>
          <w:color w:val="000000" w:themeColor="text1"/>
        </w:rPr>
      </w:pPr>
    </w:p>
    <w:p w14:paraId="0B2D1551" w14:textId="0133D561"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This needs assessment looks at the current and emerging sexual health needs of people living in York. This is to help inform the re-commissioning of the City of York sexual health service for 2023-20</w:t>
      </w:r>
      <w:r w:rsidR="00072BB8">
        <w:rPr>
          <w:rFonts w:ascii="Arial" w:hAnsi="Arial" w:cs="Arial"/>
          <w:color w:val="000000" w:themeColor="text1"/>
          <w:sz w:val="28"/>
          <w:szCs w:val="28"/>
        </w:rPr>
        <w:t>33</w:t>
      </w:r>
      <w:r w:rsidRPr="009369EF">
        <w:rPr>
          <w:rFonts w:ascii="Arial" w:hAnsi="Arial" w:cs="Arial"/>
          <w:color w:val="000000" w:themeColor="text1"/>
          <w:sz w:val="28"/>
          <w:szCs w:val="28"/>
        </w:rPr>
        <w:t>. The assessment describes the following:</w:t>
      </w:r>
    </w:p>
    <w:p w14:paraId="5B976BE9" w14:textId="77777777" w:rsidR="00DD7D30" w:rsidRPr="009369EF" w:rsidRDefault="00DD7D30" w:rsidP="00B777CD">
      <w:pPr>
        <w:pStyle w:val="ListParagraph"/>
        <w:numPr>
          <w:ilvl w:val="0"/>
          <w:numId w:val="1"/>
        </w:numPr>
        <w:jc w:val="both"/>
        <w:rPr>
          <w:rFonts w:ascii="Arial" w:hAnsi="Arial" w:cs="Arial"/>
          <w:color w:val="000000" w:themeColor="text1"/>
          <w:sz w:val="28"/>
          <w:szCs w:val="28"/>
        </w:rPr>
      </w:pPr>
      <w:r w:rsidRPr="009369EF">
        <w:rPr>
          <w:rFonts w:ascii="Arial" w:hAnsi="Arial" w:cs="Arial"/>
          <w:color w:val="000000" w:themeColor="text1"/>
          <w:sz w:val="28"/>
          <w:szCs w:val="28"/>
        </w:rPr>
        <w:t>The needs of the population</w:t>
      </w:r>
    </w:p>
    <w:p w14:paraId="5B13BF48" w14:textId="77777777" w:rsidR="00DD7D30" w:rsidRPr="009369EF" w:rsidRDefault="00DD7D30" w:rsidP="00B777CD">
      <w:pPr>
        <w:pStyle w:val="ListParagraph"/>
        <w:numPr>
          <w:ilvl w:val="0"/>
          <w:numId w:val="1"/>
        </w:numPr>
        <w:jc w:val="both"/>
        <w:rPr>
          <w:rFonts w:ascii="Arial" w:hAnsi="Arial" w:cs="Arial"/>
          <w:color w:val="000000" w:themeColor="text1"/>
          <w:sz w:val="28"/>
          <w:szCs w:val="28"/>
        </w:rPr>
      </w:pPr>
      <w:r w:rsidRPr="009369EF">
        <w:rPr>
          <w:rFonts w:ascii="Arial" w:hAnsi="Arial" w:cs="Arial"/>
          <w:color w:val="000000" w:themeColor="text1"/>
          <w:sz w:val="28"/>
          <w:szCs w:val="28"/>
        </w:rPr>
        <w:t>Key sexual health data</w:t>
      </w:r>
    </w:p>
    <w:p w14:paraId="1F9E0DBE" w14:textId="77777777" w:rsidR="00DD7D30" w:rsidRPr="009369EF" w:rsidRDefault="00DD7D30" w:rsidP="00B777CD">
      <w:pPr>
        <w:pStyle w:val="ListParagraph"/>
        <w:numPr>
          <w:ilvl w:val="0"/>
          <w:numId w:val="1"/>
        </w:numPr>
        <w:jc w:val="both"/>
        <w:rPr>
          <w:rFonts w:ascii="Arial" w:hAnsi="Arial" w:cs="Arial"/>
          <w:color w:val="000000" w:themeColor="text1"/>
          <w:sz w:val="28"/>
          <w:szCs w:val="28"/>
        </w:rPr>
      </w:pPr>
      <w:r w:rsidRPr="009369EF">
        <w:rPr>
          <w:rFonts w:ascii="Arial" w:hAnsi="Arial" w:cs="Arial"/>
          <w:color w:val="000000" w:themeColor="text1"/>
          <w:sz w:val="28"/>
          <w:szCs w:val="28"/>
        </w:rPr>
        <w:t>Service demand, including data analysis from service users and stakeholders</w:t>
      </w:r>
    </w:p>
    <w:p w14:paraId="0D81EAAC" w14:textId="77777777" w:rsidR="00DD7D30" w:rsidRPr="009369EF" w:rsidRDefault="00DD7D30" w:rsidP="00B777CD">
      <w:pPr>
        <w:pStyle w:val="ListParagraph"/>
        <w:numPr>
          <w:ilvl w:val="0"/>
          <w:numId w:val="1"/>
        </w:numPr>
        <w:jc w:val="both"/>
        <w:rPr>
          <w:rFonts w:ascii="Arial" w:hAnsi="Arial" w:cs="Arial"/>
          <w:color w:val="000000" w:themeColor="text1"/>
          <w:sz w:val="28"/>
          <w:szCs w:val="28"/>
        </w:rPr>
      </w:pPr>
      <w:r w:rsidRPr="009369EF">
        <w:rPr>
          <w:rFonts w:ascii="Arial" w:hAnsi="Arial" w:cs="Arial"/>
          <w:color w:val="000000" w:themeColor="text1"/>
          <w:sz w:val="28"/>
          <w:szCs w:val="28"/>
        </w:rPr>
        <w:t>Key findings</w:t>
      </w:r>
    </w:p>
    <w:p w14:paraId="4C14883F" w14:textId="77777777" w:rsidR="00DD7D30" w:rsidRPr="009369EF" w:rsidRDefault="00DD7D30" w:rsidP="00B777CD">
      <w:pPr>
        <w:pStyle w:val="ListParagraph"/>
        <w:jc w:val="both"/>
        <w:rPr>
          <w:rFonts w:ascii="Arial" w:hAnsi="Arial" w:cs="Arial"/>
          <w:color w:val="000000" w:themeColor="text1"/>
          <w:sz w:val="28"/>
          <w:szCs w:val="28"/>
        </w:rPr>
      </w:pPr>
    </w:p>
    <w:p w14:paraId="4ABBC8D4"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The COVID-19 pandemic meant the implementation of national and regional lockdowns from March 2020 to avert the spread of serious respiratory disease. The measures affected the provision of sexual health services and individuals’ behaviours which is reflected in this assessment’s data. When interpreting data from 2020, the pandemic should be factored in particularly when comparing data from the previous health needs assessment published in 2018. </w:t>
      </w:r>
    </w:p>
    <w:p w14:paraId="21145518"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Sexual health remains an important public health priority. Without timely and accurate diagnosis and treatment, the risk of accidental transmission and medical complications is high. This would present a significant risk to public health, </w:t>
      </w:r>
      <w:proofErr w:type="gramStart"/>
      <w:r w:rsidRPr="009369EF">
        <w:rPr>
          <w:rFonts w:ascii="Arial" w:hAnsi="Arial" w:cs="Arial"/>
          <w:color w:val="000000" w:themeColor="text1"/>
          <w:sz w:val="28"/>
          <w:szCs w:val="28"/>
        </w:rPr>
        <w:t>and also</w:t>
      </w:r>
      <w:proofErr w:type="gramEnd"/>
      <w:r w:rsidRPr="009369EF">
        <w:rPr>
          <w:rFonts w:ascii="Arial" w:hAnsi="Arial" w:cs="Arial"/>
          <w:color w:val="000000" w:themeColor="text1"/>
          <w:sz w:val="28"/>
          <w:szCs w:val="28"/>
        </w:rPr>
        <w:t xml:space="preserve"> increase the demand for costly treatments into the future. Good sexual health is also vital to general wellbeing and has a positive impact in society, regardless of sexual activity. </w:t>
      </w:r>
    </w:p>
    <w:p w14:paraId="241138A9"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The costs of delivering sexual health services are outside the scope of this health needs assessment but these will be addressed separately. </w:t>
      </w:r>
    </w:p>
    <w:p w14:paraId="43B7750D" w14:textId="77777777" w:rsidR="00DD7D30" w:rsidRPr="009369EF" w:rsidRDefault="00DD7D30" w:rsidP="00B777CD">
      <w:pPr>
        <w:jc w:val="both"/>
        <w:rPr>
          <w:rFonts w:ascii="Arial" w:hAnsi="Arial" w:cs="Arial"/>
          <w:color w:val="000000" w:themeColor="text1"/>
          <w:sz w:val="28"/>
          <w:szCs w:val="28"/>
        </w:rPr>
      </w:pPr>
    </w:p>
    <w:p w14:paraId="70123C67"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The key findings from this needs assessment are:</w:t>
      </w:r>
    </w:p>
    <w:p w14:paraId="06A41C9B" w14:textId="0C35D4A6"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Overall, the number of new sexually transmitted infections (STIs) diagnosed among residents of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960</w:t>
      </w:r>
      <w:r w:rsidRPr="009369EF">
        <w:rPr>
          <w:rFonts w:ascii="Arial" w:hAnsi="Arial" w:cs="Arial"/>
          <w:color w:val="000000" w:themeColor="text1"/>
          <w:sz w:val="28"/>
          <w:szCs w:val="28"/>
        </w:rPr>
        <w:t>. The rate was </w:t>
      </w:r>
      <w:r w:rsidRPr="009369EF">
        <w:rPr>
          <w:rStyle w:val="dynamic"/>
          <w:rFonts w:ascii="Arial" w:hAnsi="Arial" w:cs="Arial"/>
          <w:color w:val="000000" w:themeColor="text1"/>
          <w:sz w:val="28"/>
          <w:szCs w:val="28"/>
        </w:rPr>
        <w:t>455</w:t>
      </w:r>
      <w:r w:rsidRPr="009369EF">
        <w:rPr>
          <w:rFonts w:ascii="Arial" w:hAnsi="Arial" w:cs="Arial"/>
          <w:color w:val="000000" w:themeColor="text1"/>
          <w:sz w:val="28"/>
          <w:szCs w:val="28"/>
        </w:rPr>
        <w:t> per 100,000 residents, </w:t>
      </w:r>
      <w:r w:rsidRPr="009369EF">
        <w:rPr>
          <w:rStyle w:val="dynamic"/>
          <w:rFonts w:ascii="Arial" w:hAnsi="Arial" w:cs="Arial"/>
          <w:color w:val="000000" w:themeColor="text1"/>
          <w:sz w:val="28"/>
          <w:szCs w:val="28"/>
        </w:rPr>
        <w:t>lower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562</w:t>
      </w:r>
      <w:r w:rsidRPr="009369EF">
        <w:rPr>
          <w:rFonts w:ascii="Arial" w:hAnsi="Arial" w:cs="Arial"/>
          <w:color w:val="000000" w:themeColor="text1"/>
          <w:sz w:val="28"/>
          <w:szCs w:val="28"/>
        </w:rPr>
        <w:t> per 100,000 in England, and </w:t>
      </w:r>
      <w:r w:rsidRPr="009369EF">
        <w:rPr>
          <w:rStyle w:val="dynamic"/>
          <w:rFonts w:ascii="Arial" w:hAnsi="Arial" w:cs="Arial"/>
          <w:color w:val="000000" w:themeColor="text1"/>
          <w:sz w:val="28"/>
          <w:szCs w:val="28"/>
        </w:rPr>
        <w:t>higher than</w:t>
      </w:r>
      <w:r w:rsidRPr="009369EF">
        <w:rPr>
          <w:rFonts w:ascii="Arial" w:hAnsi="Arial" w:cs="Arial"/>
          <w:color w:val="000000" w:themeColor="text1"/>
          <w:sz w:val="28"/>
          <w:szCs w:val="28"/>
        </w:rPr>
        <w:t> the average of </w:t>
      </w:r>
      <w:r w:rsidRPr="009369EF">
        <w:rPr>
          <w:rStyle w:val="dynamic"/>
          <w:rFonts w:ascii="Arial" w:hAnsi="Arial" w:cs="Arial"/>
          <w:color w:val="000000" w:themeColor="text1"/>
          <w:sz w:val="28"/>
          <w:szCs w:val="28"/>
        </w:rPr>
        <w:t>412</w:t>
      </w:r>
      <w:r w:rsidRPr="009369EF">
        <w:rPr>
          <w:rFonts w:ascii="Arial" w:hAnsi="Arial" w:cs="Arial"/>
          <w:color w:val="000000" w:themeColor="text1"/>
          <w:sz w:val="28"/>
          <w:szCs w:val="28"/>
        </w:rPr>
        <w:t> per 100,000 among its </w:t>
      </w:r>
      <w:r w:rsidRPr="00C47127">
        <w:rPr>
          <w:rFonts w:ascii="Arial" w:hAnsi="Arial" w:cs="Arial"/>
          <w:sz w:val="28"/>
          <w:szCs w:val="28"/>
        </w:rPr>
        <w:t>nearest neighbours.</w:t>
      </w:r>
    </w:p>
    <w:p w14:paraId="191E3E58" w14:textId="7F51B47F" w:rsidR="00DD7D30" w:rsidRDefault="00DD7D30" w:rsidP="00B777CD">
      <w:pPr>
        <w:jc w:val="both"/>
      </w:pPr>
    </w:p>
    <w:p w14:paraId="63D0278A"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Style w:val="dynamic"/>
          <w:rFonts w:ascii="Arial" w:hAnsi="Arial" w:cs="Arial"/>
          <w:color w:val="000000" w:themeColor="text1"/>
          <w:sz w:val="28"/>
          <w:szCs w:val="28"/>
        </w:rPr>
        <w:lastRenderedPageBreak/>
        <w:t>York</w:t>
      </w:r>
      <w:r w:rsidRPr="009369EF">
        <w:rPr>
          <w:rFonts w:ascii="Arial" w:hAnsi="Arial" w:cs="Arial"/>
          <w:color w:val="000000" w:themeColor="text1"/>
          <w:sz w:val="28"/>
          <w:szCs w:val="28"/>
        </w:rPr>
        <w:t> ranked </w:t>
      </w:r>
      <w:r w:rsidRPr="009369EF">
        <w:rPr>
          <w:rStyle w:val="dynamic"/>
          <w:rFonts w:ascii="Arial" w:hAnsi="Arial" w:cs="Arial"/>
          <w:color w:val="000000" w:themeColor="text1"/>
          <w:sz w:val="28"/>
          <w:szCs w:val="28"/>
        </w:rPr>
        <w:t>116th highest</w:t>
      </w:r>
      <w:r w:rsidRPr="009369EF">
        <w:rPr>
          <w:rFonts w:ascii="Arial" w:hAnsi="Arial" w:cs="Arial"/>
          <w:color w:val="000000" w:themeColor="text1"/>
          <w:sz w:val="28"/>
          <w:szCs w:val="28"/>
        </w:rPr>
        <w:t> out of </w:t>
      </w:r>
      <w:r w:rsidRPr="009369EF">
        <w:rPr>
          <w:rStyle w:val="dynamic"/>
          <w:rFonts w:ascii="Arial" w:hAnsi="Arial" w:cs="Arial"/>
          <w:color w:val="000000" w:themeColor="text1"/>
          <w:sz w:val="28"/>
          <w:szCs w:val="28"/>
        </w:rPr>
        <w:t>149</w:t>
      </w:r>
      <w:r w:rsidRPr="009369EF">
        <w:rPr>
          <w:rFonts w:ascii="Arial" w:hAnsi="Arial" w:cs="Arial"/>
          <w:color w:val="000000" w:themeColor="text1"/>
          <w:sz w:val="28"/>
          <w:szCs w:val="28"/>
        </w:rPr>
        <w:t> upper tier local authorities (UTLAs) and unitary authorities (UAs) for new STI diagnoses excluding chlamydia among young people aged 15 to 24 years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with a rate of </w:t>
      </w:r>
      <w:r w:rsidRPr="009369EF">
        <w:rPr>
          <w:rStyle w:val="dynamic"/>
          <w:rFonts w:ascii="Arial" w:hAnsi="Arial" w:cs="Arial"/>
          <w:color w:val="000000" w:themeColor="text1"/>
          <w:sz w:val="28"/>
          <w:szCs w:val="28"/>
        </w:rPr>
        <w:t>378</w:t>
      </w:r>
      <w:r w:rsidRPr="009369EF">
        <w:rPr>
          <w:rFonts w:ascii="Arial" w:hAnsi="Arial" w:cs="Arial"/>
          <w:color w:val="000000" w:themeColor="text1"/>
          <w:sz w:val="28"/>
          <w:szCs w:val="28"/>
        </w:rPr>
        <w:t> per 100,000 residents aged 15 to 64, </w:t>
      </w:r>
      <w:r w:rsidRPr="009369EF">
        <w:rPr>
          <w:rStyle w:val="dynamic"/>
          <w:rFonts w:ascii="Arial" w:hAnsi="Arial" w:cs="Arial"/>
          <w:color w:val="000000" w:themeColor="text1"/>
          <w:sz w:val="28"/>
          <w:szCs w:val="28"/>
        </w:rPr>
        <w:t>better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619</w:t>
      </w:r>
      <w:r w:rsidRPr="009369EF">
        <w:rPr>
          <w:rFonts w:ascii="Arial" w:hAnsi="Arial" w:cs="Arial"/>
          <w:color w:val="000000" w:themeColor="text1"/>
          <w:sz w:val="28"/>
          <w:szCs w:val="28"/>
        </w:rPr>
        <w:t> per 100,000 for England.</w:t>
      </w:r>
    </w:p>
    <w:p w14:paraId="4389C734"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The chlamydia detection rate per 100,000 young people aged 15 to 24 years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1,107</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worse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1,408</w:t>
      </w:r>
      <w:r w:rsidRPr="009369EF">
        <w:rPr>
          <w:rFonts w:ascii="Arial" w:hAnsi="Arial" w:cs="Arial"/>
          <w:color w:val="000000" w:themeColor="text1"/>
          <w:sz w:val="28"/>
          <w:szCs w:val="28"/>
        </w:rPr>
        <w:t> for England.</w:t>
      </w:r>
    </w:p>
    <w:p w14:paraId="17ABE937"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The rank for gonorrhoea diagnoses (a marker of high levels of risky sexual activity)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117th highest</w:t>
      </w:r>
      <w:r w:rsidRPr="009369EF">
        <w:rPr>
          <w:rFonts w:ascii="Arial" w:hAnsi="Arial" w:cs="Arial"/>
          <w:color w:val="000000" w:themeColor="text1"/>
          <w:sz w:val="28"/>
          <w:szCs w:val="28"/>
        </w:rPr>
        <w:t> (out of </w:t>
      </w:r>
      <w:r w:rsidRPr="009369EF">
        <w:rPr>
          <w:rStyle w:val="dynamic"/>
          <w:rFonts w:ascii="Arial" w:hAnsi="Arial" w:cs="Arial"/>
          <w:color w:val="000000" w:themeColor="text1"/>
          <w:sz w:val="28"/>
          <w:szCs w:val="28"/>
        </w:rPr>
        <w:t>149</w:t>
      </w:r>
      <w:r w:rsidRPr="009369EF">
        <w:rPr>
          <w:rFonts w:ascii="Arial" w:hAnsi="Arial" w:cs="Arial"/>
          <w:color w:val="000000" w:themeColor="text1"/>
          <w:sz w:val="28"/>
          <w:szCs w:val="28"/>
        </w:rPr>
        <w:t> UTLAs/UAs)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The rate per 100,000 was </w:t>
      </w:r>
      <w:r w:rsidRPr="009369EF">
        <w:rPr>
          <w:rStyle w:val="dynamic"/>
          <w:rFonts w:ascii="Arial" w:hAnsi="Arial" w:cs="Arial"/>
          <w:color w:val="000000" w:themeColor="text1"/>
          <w:sz w:val="28"/>
          <w:szCs w:val="28"/>
        </w:rPr>
        <w:t>40.3</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better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101</w:t>
      </w:r>
      <w:r w:rsidRPr="009369EF">
        <w:rPr>
          <w:rFonts w:ascii="Arial" w:hAnsi="Arial" w:cs="Arial"/>
          <w:color w:val="000000" w:themeColor="text1"/>
          <w:sz w:val="28"/>
          <w:szCs w:val="28"/>
        </w:rPr>
        <w:t> in England.</w:t>
      </w:r>
    </w:p>
    <w:p w14:paraId="391E95DC"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Among specialist sexual health service (SHS) patients from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who were eligible to be tested for HIV, the percentage tested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59.8%</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better than</w:t>
      </w:r>
      <w:r w:rsidRPr="009369EF">
        <w:rPr>
          <w:rFonts w:ascii="Arial" w:hAnsi="Arial" w:cs="Arial"/>
          <w:color w:val="000000" w:themeColor="text1"/>
          <w:sz w:val="28"/>
          <w:szCs w:val="28"/>
        </w:rPr>
        <w:t> the </w:t>
      </w:r>
      <w:r w:rsidRPr="009369EF">
        <w:rPr>
          <w:rStyle w:val="dynamic"/>
          <w:rFonts w:ascii="Arial" w:hAnsi="Arial" w:cs="Arial"/>
          <w:color w:val="000000" w:themeColor="text1"/>
          <w:sz w:val="28"/>
          <w:szCs w:val="28"/>
        </w:rPr>
        <w:t>46.0</w:t>
      </w:r>
      <w:r w:rsidRPr="009369EF">
        <w:rPr>
          <w:rFonts w:ascii="Arial" w:hAnsi="Arial" w:cs="Arial"/>
          <w:color w:val="000000" w:themeColor="text1"/>
          <w:sz w:val="28"/>
          <w:szCs w:val="28"/>
        </w:rPr>
        <w:t>% in England.</w:t>
      </w:r>
    </w:p>
    <w:p w14:paraId="6567D935"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The number of new HIV diagnoses among people aged 15 years and above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6</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The prevalence of diagnosed HIV per 1,000 people aged 15 to 59 years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0.8</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better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2.3</w:t>
      </w:r>
      <w:r w:rsidRPr="009369EF">
        <w:rPr>
          <w:rFonts w:ascii="Arial" w:hAnsi="Arial" w:cs="Arial"/>
          <w:color w:val="000000" w:themeColor="text1"/>
          <w:sz w:val="28"/>
          <w:szCs w:val="28"/>
        </w:rPr>
        <w:t> in England. The rank for HIV prevalence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140th highest</w:t>
      </w:r>
      <w:r w:rsidRPr="009369EF">
        <w:rPr>
          <w:rFonts w:ascii="Arial" w:hAnsi="Arial" w:cs="Arial"/>
          <w:color w:val="000000" w:themeColor="text1"/>
          <w:sz w:val="28"/>
          <w:szCs w:val="28"/>
        </w:rPr>
        <w:t> (out of </w:t>
      </w:r>
      <w:r w:rsidRPr="009369EF">
        <w:rPr>
          <w:rStyle w:val="dynamic"/>
          <w:rFonts w:ascii="Arial" w:hAnsi="Arial" w:cs="Arial"/>
          <w:color w:val="000000" w:themeColor="text1"/>
          <w:sz w:val="28"/>
          <w:szCs w:val="28"/>
        </w:rPr>
        <w:t>148</w:t>
      </w:r>
      <w:r w:rsidRPr="009369EF">
        <w:rPr>
          <w:rFonts w:ascii="Arial" w:hAnsi="Arial" w:cs="Arial"/>
          <w:color w:val="000000" w:themeColor="text1"/>
          <w:sz w:val="28"/>
          <w:szCs w:val="28"/>
        </w:rPr>
        <w:t> UTLAs/UAs).</w:t>
      </w:r>
    </w:p>
    <w:p w14:paraId="5C04C09C"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xml:space="preserve">, in the </w:t>
      </w:r>
      <w:proofErr w:type="gramStart"/>
      <w:r w:rsidRPr="009369EF">
        <w:rPr>
          <w:rFonts w:ascii="Arial" w:hAnsi="Arial" w:cs="Arial"/>
          <w:color w:val="000000" w:themeColor="text1"/>
          <w:sz w:val="28"/>
          <w:szCs w:val="28"/>
        </w:rPr>
        <w:t>three year</w:t>
      </w:r>
      <w:proofErr w:type="gramEnd"/>
      <w:r w:rsidRPr="009369EF">
        <w:rPr>
          <w:rFonts w:ascii="Arial" w:hAnsi="Arial" w:cs="Arial"/>
          <w:color w:val="000000" w:themeColor="text1"/>
          <w:sz w:val="28"/>
          <w:szCs w:val="28"/>
        </w:rPr>
        <w:t xml:space="preserve"> period between </w:t>
      </w:r>
      <w:r w:rsidRPr="009369EF">
        <w:rPr>
          <w:rStyle w:val="dynamic"/>
          <w:rFonts w:ascii="Arial" w:hAnsi="Arial" w:cs="Arial"/>
          <w:color w:val="000000" w:themeColor="text1"/>
          <w:sz w:val="28"/>
          <w:szCs w:val="28"/>
        </w:rPr>
        <w:t>2018 - 20</w:t>
      </w:r>
      <w:r w:rsidRPr="009369EF">
        <w:rPr>
          <w:rFonts w:ascii="Arial" w:hAnsi="Arial" w:cs="Arial"/>
          <w:color w:val="000000" w:themeColor="text1"/>
          <w:sz w:val="28"/>
          <w:szCs w:val="28"/>
        </w:rPr>
        <w:t>, the percentage of HIV diagnoses made at a late stage of infection (all individuals with CD4 count ≤350 cells/mm</w:t>
      </w:r>
      <w:r w:rsidRPr="009369EF">
        <w:rPr>
          <w:rFonts w:ascii="Arial" w:hAnsi="Arial" w:cs="Arial"/>
          <w:color w:val="000000" w:themeColor="text1"/>
          <w:sz w:val="28"/>
          <w:szCs w:val="28"/>
          <w:vertAlign w:val="superscript"/>
        </w:rPr>
        <w:t>3</w:t>
      </w:r>
      <w:r w:rsidRPr="009369EF">
        <w:rPr>
          <w:rFonts w:ascii="Arial" w:hAnsi="Arial" w:cs="Arial"/>
          <w:color w:val="000000" w:themeColor="text1"/>
          <w:sz w:val="28"/>
          <w:szCs w:val="28"/>
        </w:rPr>
        <w:t> within 3 months of diagnosis) was </w:t>
      </w:r>
      <w:r w:rsidRPr="009369EF">
        <w:rPr>
          <w:rStyle w:val="dynamic"/>
          <w:rFonts w:ascii="Arial" w:hAnsi="Arial" w:cs="Arial"/>
          <w:color w:val="000000" w:themeColor="text1"/>
          <w:sz w:val="28"/>
          <w:szCs w:val="28"/>
        </w:rPr>
        <w:t>53.3%</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similar to</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42.4</w:t>
      </w:r>
      <w:r w:rsidRPr="009369EF">
        <w:rPr>
          <w:rFonts w:ascii="Arial" w:hAnsi="Arial" w:cs="Arial"/>
          <w:color w:val="000000" w:themeColor="text1"/>
          <w:sz w:val="28"/>
          <w:szCs w:val="28"/>
        </w:rPr>
        <w:t>% in England.</w:t>
      </w:r>
    </w:p>
    <w:p w14:paraId="3D5E1243"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 xml:space="preserve">The total rate of long-acting reversible contraception (LARC) (excluding injections) prescribed in primary care, </w:t>
      </w:r>
      <w:proofErr w:type="gramStart"/>
      <w:r w:rsidRPr="009369EF">
        <w:rPr>
          <w:rFonts w:ascii="Arial" w:hAnsi="Arial" w:cs="Arial"/>
          <w:color w:val="000000" w:themeColor="text1"/>
          <w:sz w:val="28"/>
          <w:szCs w:val="28"/>
        </w:rPr>
        <w:t>specialist</w:t>
      </w:r>
      <w:proofErr w:type="gramEnd"/>
      <w:r w:rsidRPr="009369EF">
        <w:rPr>
          <w:rFonts w:ascii="Arial" w:hAnsi="Arial" w:cs="Arial"/>
          <w:color w:val="000000" w:themeColor="text1"/>
          <w:sz w:val="28"/>
          <w:szCs w:val="28"/>
        </w:rPr>
        <w:t xml:space="preserve"> and non-specialist SHS per 1,000 women aged 15 to 44 years living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46.6</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higher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34.6</w:t>
      </w:r>
      <w:r w:rsidRPr="009369EF">
        <w:rPr>
          <w:rFonts w:ascii="Arial" w:hAnsi="Arial" w:cs="Arial"/>
          <w:color w:val="000000" w:themeColor="text1"/>
          <w:sz w:val="28"/>
          <w:szCs w:val="28"/>
        </w:rPr>
        <w:t> per 1,000 women in England. The rate prescribed in primary care was </w:t>
      </w:r>
      <w:r w:rsidRPr="009369EF">
        <w:rPr>
          <w:rStyle w:val="dynamic"/>
          <w:rFonts w:ascii="Arial" w:hAnsi="Arial" w:cs="Arial"/>
          <w:color w:val="000000" w:themeColor="text1"/>
          <w:sz w:val="28"/>
          <w:szCs w:val="28"/>
        </w:rPr>
        <w:t>29.7</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higher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21.1</w:t>
      </w:r>
      <w:r w:rsidRPr="009369EF">
        <w:rPr>
          <w:rFonts w:ascii="Arial" w:hAnsi="Arial" w:cs="Arial"/>
          <w:color w:val="000000" w:themeColor="text1"/>
          <w:sz w:val="28"/>
          <w:szCs w:val="28"/>
        </w:rPr>
        <w:t> in England. The rate prescribed in the other settings was </w:t>
      </w:r>
      <w:r w:rsidRPr="009369EF">
        <w:rPr>
          <w:rStyle w:val="dynamic"/>
          <w:rFonts w:ascii="Arial" w:hAnsi="Arial" w:cs="Arial"/>
          <w:color w:val="000000" w:themeColor="text1"/>
          <w:sz w:val="28"/>
          <w:szCs w:val="28"/>
        </w:rPr>
        <w:t>17.0</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higher than</w:t>
      </w:r>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13.4</w:t>
      </w:r>
      <w:r w:rsidRPr="009369EF">
        <w:rPr>
          <w:rFonts w:ascii="Arial" w:hAnsi="Arial" w:cs="Arial"/>
          <w:color w:val="000000" w:themeColor="text1"/>
          <w:sz w:val="28"/>
          <w:szCs w:val="28"/>
        </w:rPr>
        <w:t> in England.</w:t>
      </w:r>
    </w:p>
    <w:p w14:paraId="5CEF7C44"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The total abortion rate per 1,000 women aged 15 to 44 years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11.4</w:t>
      </w:r>
      <w:r w:rsidRPr="009369EF">
        <w:rPr>
          <w:rFonts w:ascii="Arial" w:hAnsi="Arial" w:cs="Arial"/>
          <w:color w:val="000000" w:themeColor="text1"/>
          <w:sz w:val="28"/>
          <w:szCs w:val="28"/>
        </w:rPr>
        <w:t>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lower than</w:t>
      </w:r>
      <w:r w:rsidRPr="009369EF">
        <w:rPr>
          <w:rFonts w:ascii="Arial" w:hAnsi="Arial" w:cs="Arial"/>
          <w:color w:val="000000" w:themeColor="text1"/>
          <w:sz w:val="28"/>
          <w:szCs w:val="28"/>
        </w:rPr>
        <w:t> the England rate of </w:t>
      </w:r>
      <w:r w:rsidRPr="009369EF">
        <w:rPr>
          <w:rStyle w:val="dynamic"/>
          <w:rFonts w:ascii="Arial" w:hAnsi="Arial" w:cs="Arial"/>
          <w:color w:val="000000" w:themeColor="text1"/>
          <w:sz w:val="28"/>
          <w:szCs w:val="28"/>
        </w:rPr>
        <w:t>18.9</w:t>
      </w:r>
      <w:r w:rsidRPr="009369EF">
        <w:rPr>
          <w:rFonts w:ascii="Arial" w:hAnsi="Arial" w:cs="Arial"/>
          <w:color w:val="000000" w:themeColor="text1"/>
          <w:sz w:val="28"/>
          <w:szCs w:val="28"/>
        </w:rPr>
        <w:t> per 1,000. Of those women under 25 years who had an abortion in </w:t>
      </w:r>
      <w:r w:rsidRPr="009369EF">
        <w:rPr>
          <w:rStyle w:val="dynamic"/>
          <w:rFonts w:ascii="Arial" w:hAnsi="Arial" w:cs="Arial"/>
          <w:color w:val="000000" w:themeColor="text1"/>
          <w:sz w:val="28"/>
          <w:szCs w:val="28"/>
        </w:rPr>
        <w:t>2020</w:t>
      </w:r>
      <w:r w:rsidRPr="009369EF">
        <w:rPr>
          <w:rFonts w:ascii="Arial" w:hAnsi="Arial" w:cs="Arial"/>
          <w:color w:val="000000" w:themeColor="text1"/>
          <w:sz w:val="28"/>
          <w:szCs w:val="28"/>
        </w:rPr>
        <w:t>, the proportion who had had a previous abortion was </w:t>
      </w:r>
      <w:r w:rsidRPr="009369EF">
        <w:rPr>
          <w:rStyle w:val="dynamic"/>
          <w:rFonts w:ascii="Arial" w:hAnsi="Arial" w:cs="Arial"/>
          <w:color w:val="000000" w:themeColor="text1"/>
          <w:sz w:val="28"/>
          <w:szCs w:val="28"/>
        </w:rPr>
        <w:t>19.1%</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lower than</w:t>
      </w:r>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29.2</w:t>
      </w:r>
      <w:r w:rsidRPr="009369EF">
        <w:rPr>
          <w:rFonts w:ascii="Arial" w:hAnsi="Arial" w:cs="Arial"/>
          <w:color w:val="000000" w:themeColor="text1"/>
          <w:sz w:val="28"/>
          <w:szCs w:val="28"/>
        </w:rPr>
        <w:t>% in England.</w:t>
      </w:r>
    </w:p>
    <w:p w14:paraId="6A7F1411"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t>In </w:t>
      </w:r>
      <w:r w:rsidRPr="009369EF">
        <w:rPr>
          <w:rStyle w:val="dynamic"/>
          <w:rFonts w:ascii="Arial" w:hAnsi="Arial" w:cs="Arial"/>
          <w:color w:val="000000" w:themeColor="text1"/>
          <w:sz w:val="28"/>
          <w:szCs w:val="28"/>
        </w:rPr>
        <w:t>2019</w:t>
      </w:r>
      <w:r w:rsidRPr="009369EF">
        <w:rPr>
          <w:rFonts w:ascii="Arial" w:hAnsi="Arial" w:cs="Arial"/>
          <w:color w:val="000000" w:themeColor="text1"/>
          <w:sz w:val="28"/>
          <w:szCs w:val="28"/>
        </w:rPr>
        <w:t>, the conception rate for under-18s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rPr>
        <w:t> was </w:t>
      </w:r>
      <w:r w:rsidRPr="009369EF">
        <w:rPr>
          <w:rStyle w:val="dynamic"/>
          <w:rFonts w:ascii="Arial" w:hAnsi="Arial" w:cs="Arial"/>
          <w:color w:val="000000" w:themeColor="text1"/>
          <w:sz w:val="28"/>
          <w:szCs w:val="28"/>
        </w:rPr>
        <w:t>16.4</w:t>
      </w:r>
      <w:r w:rsidRPr="009369EF">
        <w:rPr>
          <w:rFonts w:ascii="Arial" w:hAnsi="Arial" w:cs="Arial"/>
          <w:color w:val="000000" w:themeColor="text1"/>
          <w:sz w:val="28"/>
          <w:szCs w:val="28"/>
        </w:rPr>
        <w:t> per 1,000 girls aged 15 to 17 years, </w:t>
      </w:r>
      <w:proofErr w:type="gramStart"/>
      <w:r w:rsidRPr="009369EF">
        <w:rPr>
          <w:rStyle w:val="dynamic"/>
          <w:rFonts w:ascii="Arial" w:hAnsi="Arial" w:cs="Arial"/>
          <w:color w:val="000000" w:themeColor="text1"/>
          <w:sz w:val="28"/>
          <w:szCs w:val="28"/>
        </w:rPr>
        <w:t>similar to</w:t>
      </w:r>
      <w:proofErr w:type="gramEnd"/>
      <w:r w:rsidRPr="009369EF">
        <w:rPr>
          <w:rFonts w:ascii="Arial" w:hAnsi="Arial" w:cs="Arial"/>
          <w:color w:val="000000" w:themeColor="text1"/>
          <w:sz w:val="28"/>
          <w:szCs w:val="28"/>
        </w:rPr>
        <w:t> the rate of </w:t>
      </w:r>
      <w:r w:rsidRPr="009369EF">
        <w:rPr>
          <w:rStyle w:val="dynamic"/>
          <w:rFonts w:ascii="Arial" w:hAnsi="Arial" w:cs="Arial"/>
          <w:color w:val="000000" w:themeColor="text1"/>
          <w:sz w:val="28"/>
          <w:szCs w:val="28"/>
        </w:rPr>
        <w:t>15.7</w:t>
      </w:r>
      <w:r w:rsidRPr="009369EF">
        <w:rPr>
          <w:rFonts w:ascii="Arial" w:hAnsi="Arial" w:cs="Arial"/>
          <w:color w:val="000000" w:themeColor="text1"/>
          <w:sz w:val="28"/>
          <w:szCs w:val="28"/>
        </w:rPr>
        <w:t> in England.</w:t>
      </w:r>
    </w:p>
    <w:p w14:paraId="2831C870" w14:textId="77777777" w:rsidR="00DD7D30" w:rsidRPr="009369EF" w:rsidRDefault="00DD7D30" w:rsidP="00B777CD">
      <w:pPr>
        <w:numPr>
          <w:ilvl w:val="0"/>
          <w:numId w:val="2"/>
        </w:numPr>
        <w:shd w:val="clear" w:color="auto" w:fill="FFFFFF"/>
        <w:spacing w:before="113" w:after="113" w:line="240" w:lineRule="auto"/>
        <w:jc w:val="both"/>
        <w:rPr>
          <w:rFonts w:ascii="Arial" w:hAnsi="Arial" w:cs="Arial"/>
          <w:color w:val="000000" w:themeColor="text1"/>
          <w:sz w:val="28"/>
          <w:szCs w:val="28"/>
        </w:rPr>
      </w:pPr>
      <w:r w:rsidRPr="009369EF">
        <w:rPr>
          <w:rFonts w:ascii="Arial" w:hAnsi="Arial" w:cs="Arial"/>
          <w:color w:val="000000" w:themeColor="text1"/>
          <w:sz w:val="28"/>
          <w:szCs w:val="28"/>
        </w:rPr>
        <w:lastRenderedPageBreak/>
        <w:t>In </w:t>
      </w:r>
      <w:r w:rsidRPr="009369EF">
        <w:rPr>
          <w:rStyle w:val="dynamic"/>
          <w:rFonts w:ascii="Arial" w:hAnsi="Arial" w:cs="Arial"/>
          <w:color w:val="000000" w:themeColor="text1"/>
          <w:sz w:val="28"/>
          <w:szCs w:val="28"/>
        </w:rPr>
        <w:t>2019/20</w:t>
      </w:r>
      <w:r w:rsidRPr="009369EF">
        <w:rPr>
          <w:rFonts w:ascii="Arial" w:hAnsi="Arial" w:cs="Arial"/>
          <w:color w:val="000000" w:themeColor="text1"/>
          <w:sz w:val="28"/>
          <w:szCs w:val="28"/>
        </w:rPr>
        <w:t>, the percentage of births to mothers under 18 years was </w:t>
      </w:r>
      <w:r w:rsidRPr="009369EF">
        <w:rPr>
          <w:rStyle w:val="dynamic"/>
          <w:rFonts w:ascii="Arial" w:hAnsi="Arial" w:cs="Arial"/>
          <w:color w:val="000000" w:themeColor="text1"/>
          <w:sz w:val="28"/>
          <w:szCs w:val="28"/>
        </w:rPr>
        <w:t>0.9%</w:t>
      </w:r>
      <w:r w:rsidRPr="009369EF">
        <w:rPr>
          <w:rFonts w:ascii="Arial" w:hAnsi="Arial" w:cs="Arial"/>
          <w:color w:val="000000" w:themeColor="text1"/>
          <w:sz w:val="28"/>
          <w:szCs w:val="28"/>
        </w:rPr>
        <w:t>, </w:t>
      </w:r>
      <w:proofErr w:type="gramStart"/>
      <w:r w:rsidRPr="009369EF">
        <w:rPr>
          <w:rStyle w:val="dynamic"/>
          <w:rFonts w:ascii="Arial" w:hAnsi="Arial" w:cs="Arial"/>
          <w:color w:val="000000" w:themeColor="text1"/>
          <w:sz w:val="28"/>
          <w:szCs w:val="28"/>
        </w:rPr>
        <w:t>similar to</w:t>
      </w:r>
      <w:proofErr w:type="gramEnd"/>
      <w:r w:rsidRPr="009369EF">
        <w:rPr>
          <w:rFonts w:ascii="Arial" w:hAnsi="Arial" w:cs="Arial"/>
          <w:color w:val="000000" w:themeColor="text1"/>
          <w:sz w:val="28"/>
          <w:szCs w:val="28"/>
        </w:rPr>
        <w:t> </w:t>
      </w:r>
      <w:r w:rsidRPr="009369EF">
        <w:rPr>
          <w:rStyle w:val="dynamic"/>
          <w:rFonts w:ascii="Arial" w:hAnsi="Arial" w:cs="Arial"/>
          <w:color w:val="000000" w:themeColor="text1"/>
          <w:sz w:val="28"/>
          <w:szCs w:val="28"/>
        </w:rPr>
        <w:t>0.7</w:t>
      </w:r>
      <w:r w:rsidRPr="009369EF">
        <w:rPr>
          <w:rFonts w:ascii="Arial" w:hAnsi="Arial" w:cs="Arial"/>
          <w:color w:val="000000" w:themeColor="text1"/>
          <w:sz w:val="28"/>
          <w:szCs w:val="28"/>
        </w:rPr>
        <w:t>% in England overall.</w:t>
      </w:r>
      <w:r w:rsidRPr="009369EF">
        <w:rPr>
          <w:rStyle w:val="FootnoteReference"/>
          <w:rFonts w:ascii="Arial" w:hAnsi="Arial" w:cs="Arial"/>
          <w:color w:val="000000" w:themeColor="text1"/>
          <w:sz w:val="28"/>
          <w:szCs w:val="28"/>
        </w:rPr>
        <w:footnoteReference w:id="1"/>
      </w:r>
      <w:bookmarkStart w:id="2" w:name="_Toc121996476"/>
    </w:p>
    <w:p w14:paraId="18E3389F" w14:textId="77777777" w:rsidR="00DD7D30" w:rsidRDefault="00DD7D30" w:rsidP="00B777CD">
      <w:pPr>
        <w:shd w:val="clear" w:color="auto" w:fill="FFFFFF"/>
        <w:spacing w:before="113" w:after="113" w:line="240" w:lineRule="auto"/>
        <w:ind w:left="720"/>
        <w:jc w:val="both"/>
        <w:rPr>
          <w:rFonts w:ascii="Arial" w:hAnsi="Arial" w:cs="Arial"/>
          <w:color w:val="222222"/>
          <w:sz w:val="28"/>
          <w:szCs w:val="28"/>
        </w:rPr>
      </w:pPr>
    </w:p>
    <w:p w14:paraId="5FFFED9F" w14:textId="77777777" w:rsidR="00DD7D30" w:rsidRPr="00A97477" w:rsidRDefault="00DD7D30" w:rsidP="00B777CD">
      <w:pPr>
        <w:pStyle w:val="Heading1"/>
        <w:numPr>
          <w:ilvl w:val="0"/>
          <w:numId w:val="3"/>
        </w:numPr>
        <w:tabs>
          <w:tab w:val="num" w:pos="360"/>
        </w:tabs>
        <w:ind w:left="0" w:firstLine="0"/>
        <w:jc w:val="both"/>
        <w:rPr>
          <w:rStyle w:val="Strong"/>
          <w:rFonts w:ascii="Arial" w:hAnsi="Arial" w:cs="Arial"/>
          <w:b w:val="0"/>
          <w:bCs w:val="0"/>
          <w:color w:val="222222"/>
          <w:sz w:val="28"/>
          <w:szCs w:val="28"/>
        </w:rPr>
      </w:pPr>
      <w:bookmarkStart w:id="3" w:name="_Toc124346931"/>
      <w:r w:rsidRPr="00A97477">
        <w:rPr>
          <w:rStyle w:val="Strong"/>
          <w:rFonts w:cstheme="majorHAnsi"/>
          <w:b w:val="0"/>
          <w:bCs w:val="0"/>
        </w:rPr>
        <w:t>Scope and Purpose</w:t>
      </w:r>
      <w:bookmarkEnd w:id="2"/>
      <w:bookmarkEnd w:id="3"/>
    </w:p>
    <w:p w14:paraId="784BE000" w14:textId="77777777" w:rsidR="00DD7D30" w:rsidRPr="00E44E69" w:rsidRDefault="00DD7D30" w:rsidP="00B777CD">
      <w:pPr>
        <w:jc w:val="both"/>
      </w:pPr>
    </w:p>
    <w:p w14:paraId="11DD47C7"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The purpose of this Needs Assessment is to consider the current and emerging sexual health needs of York residents.</w:t>
      </w:r>
    </w:p>
    <w:p w14:paraId="711766CC"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The primary intended outcome of this Needs Assessment is to inform future sexual health strategies and commissioning decisions over the next three years.</w:t>
      </w:r>
    </w:p>
    <w:p w14:paraId="29CF8138"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The Needs Assessment includes a description of York’s population and how it is projected to change in the coming years. It also includes a description of the sexual health service use and health outcomes of the population of York. This includes testing and diagnosis of sexual health infections (STIs), contraception, conception, and pregnancy termination among teenagers. </w:t>
      </w:r>
    </w:p>
    <w:p w14:paraId="189D0468"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The following information sources were used as part of this Needs Assessment: </w:t>
      </w:r>
    </w:p>
    <w:p w14:paraId="5ABED30F" w14:textId="77777777" w:rsidR="00DD7D30" w:rsidRPr="009369EF" w:rsidRDefault="00DD7D30" w:rsidP="00B777CD">
      <w:pPr>
        <w:pStyle w:val="ListParagraph"/>
        <w:numPr>
          <w:ilvl w:val="0"/>
          <w:numId w:val="4"/>
        </w:numPr>
        <w:jc w:val="both"/>
        <w:rPr>
          <w:rFonts w:ascii="Arial" w:hAnsi="Arial" w:cs="Arial"/>
          <w:color w:val="000000" w:themeColor="text1"/>
          <w:sz w:val="28"/>
          <w:szCs w:val="28"/>
        </w:rPr>
      </w:pPr>
      <w:r w:rsidRPr="009369EF">
        <w:rPr>
          <w:rFonts w:ascii="Arial" w:hAnsi="Arial" w:cs="Arial"/>
          <w:color w:val="000000" w:themeColor="text1"/>
          <w:sz w:val="28"/>
          <w:szCs w:val="28"/>
        </w:rPr>
        <w:t>Routinely collected data indicators. For example, Office of Health Disparities and Improvements (OHID) Fingertips, Business Intelligence (BI) data, and any Census 2021 data</w:t>
      </w:r>
    </w:p>
    <w:p w14:paraId="65B3D903" w14:textId="77777777" w:rsidR="00DD7D30" w:rsidRPr="009369EF" w:rsidRDefault="00DD7D30" w:rsidP="00B777CD">
      <w:pPr>
        <w:pStyle w:val="ListParagraph"/>
        <w:jc w:val="both"/>
        <w:rPr>
          <w:rFonts w:ascii="Arial" w:hAnsi="Arial" w:cs="Arial"/>
          <w:color w:val="000000" w:themeColor="text1"/>
          <w:sz w:val="28"/>
          <w:szCs w:val="28"/>
        </w:rPr>
      </w:pPr>
    </w:p>
    <w:p w14:paraId="3F993DE1" w14:textId="77777777" w:rsidR="00DD7D30" w:rsidRPr="009369EF" w:rsidRDefault="00DD7D30" w:rsidP="00B777CD">
      <w:pPr>
        <w:pStyle w:val="ListParagraph"/>
        <w:numPr>
          <w:ilvl w:val="0"/>
          <w:numId w:val="4"/>
        </w:numPr>
        <w:jc w:val="both"/>
        <w:rPr>
          <w:rFonts w:ascii="Arial" w:hAnsi="Arial" w:cs="Arial"/>
          <w:color w:val="000000" w:themeColor="text1"/>
          <w:sz w:val="28"/>
          <w:szCs w:val="28"/>
        </w:rPr>
      </w:pPr>
      <w:r w:rsidRPr="009369EF">
        <w:rPr>
          <w:rFonts w:ascii="Arial" w:hAnsi="Arial" w:cs="Arial"/>
          <w:color w:val="000000" w:themeColor="text1"/>
          <w:sz w:val="28"/>
          <w:szCs w:val="28"/>
        </w:rPr>
        <w:t>Specialist reports: York Local Authority HIV, (SPLASH) (formerly the sexual and reproductive health epidemiology report (LASAR)), OHID 2021</w:t>
      </w:r>
    </w:p>
    <w:p w14:paraId="74E7A8E4" w14:textId="77777777" w:rsidR="00DD7D30" w:rsidRPr="009369EF" w:rsidRDefault="00DD7D30" w:rsidP="00B777CD">
      <w:pPr>
        <w:pStyle w:val="ListParagraph"/>
        <w:jc w:val="both"/>
        <w:rPr>
          <w:rFonts w:ascii="Arial" w:hAnsi="Arial" w:cs="Arial"/>
          <w:color w:val="000000" w:themeColor="text1"/>
          <w:sz w:val="28"/>
          <w:szCs w:val="28"/>
        </w:rPr>
      </w:pPr>
    </w:p>
    <w:p w14:paraId="76472FF5" w14:textId="77777777" w:rsidR="00DD7D30" w:rsidRPr="009369EF" w:rsidRDefault="00DD7D30" w:rsidP="00B777CD">
      <w:pPr>
        <w:pStyle w:val="ListParagraph"/>
        <w:numPr>
          <w:ilvl w:val="0"/>
          <w:numId w:val="4"/>
        </w:numPr>
        <w:jc w:val="both"/>
        <w:rPr>
          <w:rFonts w:ascii="Arial" w:hAnsi="Arial" w:cs="Arial"/>
          <w:color w:val="000000" w:themeColor="text1"/>
          <w:sz w:val="28"/>
          <w:szCs w:val="28"/>
        </w:rPr>
      </w:pPr>
      <w:r w:rsidRPr="009369EF">
        <w:rPr>
          <w:rFonts w:ascii="Arial" w:hAnsi="Arial" w:cs="Arial"/>
          <w:color w:val="000000" w:themeColor="text1"/>
          <w:sz w:val="28"/>
          <w:szCs w:val="28"/>
        </w:rPr>
        <w:t>Extracts from recent York topic needs assessments produced as part of the Joint Strategic Needs Assessment</w:t>
      </w:r>
    </w:p>
    <w:p w14:paraId="2407B108" w14:textId="77777777" w:rsidR="00DD7D30" w:rsidRPr="009369EF" w:rsidRDefault="00DD7D30" w:rsidP="00B777CD">
      <w:pPr>
        <w:pStyle w:val="ListParagraph"/>
        <w:jc w:val="both"/>
        <w:rPr>
          <w:rFonts w:ascii="Arial" w:hAnsi="Arial" w:cs="Arial"/>
          <w:color w:val="000000" w:themeColor="text1"/>
          <w:sz w:val="28"/>
          <w:szCs w:val="28"/>
        </w:rPr>
      </w:pPr>
    </w:p>
    <w:p w14:paraId="561F5074" w14:textId="77777777" w:rsidR="00DD7D30" w:rsidRPr="009369EF" w:rsidRDefault="00DD7D30" w:rsidP="00B777CD">
      <w:pPr>
        <w:pStyle w:val="ListParagraph"/>
        <w:numPr>
          <w:ilvl w:val="0"/>
          <w:numId w:val="4"/>
        </w:numPr>
        <w:jc w:val="both"/>
        <w:rPr>
          <w:rFonts w:ascii="Arial" w:hAnsi="Arial" w:cs="Arial"/>
          <w:color w:val="000000" w:themeColor="text1"/>
          <w:sz w:val="28"/>
          <w:szCs w:val="28"/>
        </w:rPr>
      </w:pPr>
      <w:r w:rsidRPr="009369EF">
        <w:rPr>
          <w:rFonts w:ascii="Arial" w:hAnsi="Arial" w:cs="Arial"/>
          <w:color w:val="000000" w:themeColor="text1"/>
          <w:sz w:val="28"/>
          <w:szCs w:val="28"/>
        </w:rPr>
        <w:t>Data provision from service providers about people who have used the integrated wellbeing service in the last year</w:t>
      </w:r>
    </w:p>
    <w:p w14:paraId="0A5E5619" w14:textId="77777777" w:rsidR="00DD7D30" w:rsidRPr="009369EF" w:rsidRDefault="00DD7D30" w:rsidP="00B777CD">
      <w:pPr>
        <w:pStyle w:val="ListParagraph"/>
        <w:jc w:val="both"/>
        <w:rPr>
          <w:rFonts w:ascii="Arial" w:hAnsi="Arial" w:cs="Arial"/>
          <w:color w:val="000000" w:themeColor="text1"/>
          <w:sz w:val="28"/>
          <w:szCs w:val="28"/>
        </w:rPr>
      </w:pPr>
    </w:p>
    <w:p w14:paraId="6019BC65" w14:textId="77777777" w:rsidR="00DD7D30" w:rsidRPr="009369EF" w:rsidRDefault="00DD7D30" w:rsidP="00B777CD">
      <w:pPr>
        <w:pStyle w:val="ListParagraph"/>
        <w:numPr>
          <w:ilvl w:val="0"/>
          <w:numId w:val="4"/>
        </w:numPr>
        <w:jc w:val="both"/>
        <w:rPr>
          <w:rFonts w:ascii="Arial" w:hAnsi="Arial" w:cs="Arial"/>
          <w:color w:val="000000" w:themeColor="text1"/>
          <w:sz w:val="28"/>
          <w:szCs w:val="28"/>
        </w:rPr>
      </w:pPr>
      <w:r w:rsidRPr="009369EF">
        <w:rPr>
          <w:rFonts w:ascii="Arial" w:hAnsi="Arial" w:cs="Arial"/>
          <w:color w:val="000000" w:themeColor="text1"/>
          <w:sz w:val="28"/>
          <w:szCs w:val="28"/>
        </w:rPr>
        <w:t>Information collected from residents about their views of sexual health services in York</w:t>
      </w:r>
    </w:p>
    <w:p w14:paraId="565D5B30" w14:textId="77777777" w:rsidR="00DD7D30" w:rsidRPr="00EE49D6" w:rsidRDefault="00DD7D30" w:rsidP="00B777CD">
      <w:pPr>
        <w:pStyle w:val="ListParagraph"/>
        <w:jc w:val="both"/>
        <w:rPr>
          <w:rFonts w:ascii="Arial" w:hAnsi="Arial" w:cs="Arial"/>
          <w:sz w:val="28"/>
          <w:szCs w:val="28"/>
        </w:rPr>
      </w:pPr>
    </w:p>
    <w:p w14:paraId="56801AE0" w14:textId="77777777" w:rsidR="00DD7D30" w:rsidRDefault="00DD7D30" w:rsidP="00B777CD">
      <w:pPr>
        <w:jc w:val="both"/>
        <w:rPr>
          <w:rFonts w:ascii="Arial" w:hAnsi="Arial" w:cs="Arial"/>
          <w:i/>
          <w:iCs/>
          <w:sz w:val="28"/>
          <w:szCs w:val="28"/>
        </w:rPr>
      </w:pPr>
      <w:r w:rsidRPr="002655C8">
        <w:rPr>
          <w:rFonts w:ascii="Arial" w:hAnsi="Arial" w:cs="Arial"/>
          <w:sz w:val="28"/>
          <w:szCs w:val="28"/>
        </w:rPr>
        <w:t>The views of organisations and professionals have not been formally collected as part of this needs assessment. There will be an extended engagement and consultation period as part of planned commissioning work in 2023, and this will include the opportunity to discuss sexual health need in York</w:t>
      </w:r>
      <w:r w:rsidRPr="00BF6F40">
        <w:rPr>
          <w:rFonts w:ascii="Arial" w:hAnsi="Arial" w:cs="Arial"/>
          <w:i/>
          <w:iCs/>
          <w:sz w:val="28"/>
          <w:szCs w:val="28"/>
        </w:rPr>
        <w:t xml:space="preserve">. </w:t>
      </w:r>
    </w:p>
    <w:p w14:paraId="0B93E66F" w14:textId="77777777" w:rsidR="00DD7D30" w:rsidRDefault="00DD7D30" w:rsidP="00B777CD">
      <w:pPr>
        <w:jc w:val="both"/>
        <w:rPr>
          <w:rFonts w:ascii="Arial" w:hAnsi="Arial" w:cs="Arial"/>
          <w:i/>
          <w:iCs/>
          <w:sz w:val="28"/>
          <w:szCs w:val="28"/>
        </w:rPr>
      </w:pPr>
    </w:p>
    <w:p w14:paraId="5D7F9FF2" w14:textId="77777777" w:rsidR="00F15F6F" w:rsidRPr="00213429" w:rsidRDefault="00F15F6F" w:rsidP="00B777CD">
      <w:pPr>
        <w:jc w:val="both"/>
        <w:rPr>
          <w:rFonts w:ascii="Arial" w:hAnsi="Arial" w:cs="Arial"/>
          <w:color w:val="000000" w:themeColor="text1"/>
          <w:sz w:val="28"/>
          <w:szCs w:val="28"/>
          <w:u w:val="single"/>
        </w:rPr>
      </w:pPr>
      <w:r w:rsidRPr="00213429">
        <w:rPr>
          <w:rFonts w:ascii="Arial" w:hAnsi="Arial" w:cs="Arial"/>
          <w:color w:val="000000" w:themeColor="text1"/>
          <w:sz w:val="28"/>
          <w:szCs w:val="28"/>
          <w:u w:val="single"/>
        </w:rPr>
        <w:t>Commissioning Responsibilities and Quality Standards</w:t>
      </w:r>
    </w:p>
    <w:p w14:paraId="0427FC1B" w14:textId="77777777" w:rsidR="00F15F6F" w:rsidRPr="00213429" w:rsidRDefault="00F15F6F" w:rsidP="00B777CD">
      <w:pPr>
        <w:jc w:val="both"/>
        <w:rPr>
          <w:rFonts w:ascii="Arial" w:hAnsi="Arial" w:cs="Arial"/>
          <w:color w:val="000000" w:themeColor="text1"/>
          <w:sz w:val="28"/>
          <w:szCs w:val="28"/>
        </w:rPr>
      </w:pPr>
      <w:r w:rsidRPr="00213429">
        <w:rPr>
          <w:rFonts w:ascii="Arial" w:hAnsi="Arial" w:cs="Arial"/>
          <w:color w:val="000000" w:themeColor="text1"/>
          <w:sz w:val="28"/>
          <w:szCs w:val="28"/>
        </w:rPr>
        <w:t>Sexual health services are commissioned locally to meet the needs of the population.</w:t>
      </w:r>
      <w:r w:rsidRPr="00213429">
        <w:rPr>
          <w:rStyle w:val="FootnoteReference"/>
          <w:rFonts w:ascii="Arial" w:hAnsi="Arial" w:cs="Arial"/>
          <w:color w:val="000000" w:themeColor="text1"/>
          <w:sz w:val="28"/>
          <w:szCs w:val="28"/>
        </w:rPr>
        <w:footnoteReference w:id="2"/>
      </w:r>
      <w:r w:rsidRPr="00213429">
        <w:rPr>
          <w:rFonts w:ascii="Arial" w:hAnsi="Arial" w:cs="Arial"/>
          <w:color w:val="000000" w:themeColor="text1"/>
          <w:sz w:val="28"/>
          <w:szCs w:val="28"/>
        </w:rPr>
        <w:t xml:space="preserve"> Local authorities are responsible for commissioning the following services:</w:t>
      </w:r>
    </w:p>
    <w:p w14:paraId="0CFF4E96" w14:textId="77777777" w:rsidR="00F15F6F" w:rsidRPr="00213429" w:rsidRDefault="00F15F6F" w:rsidP="00B777CD">
      <w:pPr>
        <w:numPr>
          <w:ilvl w:val="0"/>
          <w:numId w:val="5"/>
        </w:numPr>
        <w:shd w:val="clear" w:color="auto" w:fill="FFFFFF"/>
        <w:spacing w:after="75" w:line="240" w:lineRule="auto"/>
        <w:ind w:left="1020"/>
        <w:jc w:val="both"/>
        <w:rPr>
          <w:rFonts w:ascii="Arial" w:eastAsia="Times New Roman" w:hAnsi="Arial" w:cs="Arial"/>
          <w:color w:val="000000" w:themeColor="text1"/>
          <w:sz w:val="29"/>
          <w:szCs w:val="29"/>
          <w:lang w:eastAsia="en-GB"/>
        </w:rPr>
      </w:pPr>
      <w:r w:rsidRPr="00213429">
        <w:rPr>
          <w:rFonts w:ascii="Arial" w:eastAsia="Times New Roman" w:hAnsi="Arial" w:cs="Arial"/>
          <w:color w:val="000000" w:themeColor="text1"/>
          <w:sz w:val="29"/>
          <w:szCs w:val="29"/>
          <w:lang w:eastAsia="en-GB"/>
        </w:rPr>
        <w:t xml:space="preserve">comprehensive sexual health services including most contraceptive services and all prescribing costs, but excluding GP </w:t>
      </w:r>
      <w:proofErr w:type="gramStart"/>
      <w:r w:rsidRPr="00213429">
        <w:rPr>
          <w:rFonts w:ascii="Arial" w:eastAsia="Times New Roman" w:hAnsi="Arial" w:cs="Arial"/>
          <w:color w:val="000000" w:themeColor="text1"/>
          <w:sz w:val="29"/>
          <w:szCs w:val="29"/>
          <w:lang w:eastAsia="en-GB"/>
        </w:rPr>
        <w:t>additionally-provided</w:t>
      </w:r>
      <w:proofErr w:type="gramEnd"/>
      <w:r w:rsidRPr="00213429">
        <w:rPr>
          <w:rFonts w:ascii="Arial" w:eastAsia="Times New Roman" w:hAnsi="Arial" w:cs="Arial"/>
          <w:color w:val="000000" w:themeColor="text1"/>
          <w:sz w:val="29"/>
          <w:szCs w:val="29"/>
          <w:lang w:eastAsia="en-GB"/>
        </w:rPr>
        <w:t xml:space="preserve"> contraception</w:t>
      </w:r>
    </w:p>
    <w:p w14:paraId="39767B80" w14:textId="77777777" w:rsidR="00F15F6F" w:rsidRPr="00213429" w:rsidRDefault="00F15F6F" w:rsidP="00B777CD">
      <w:pPr>
        <w:numPr>
          <w:ilvl w:val="0"/>
          <w:numId w:val="5"/>
        </w:numPr>
        <w:shd w:val="clear" w:color="auto" w:fill="FFFFFF"/>
        <w:spacing w:after="75" w:line="240" w:lineRule="auto"/>
        <w:ind w:left="1020"/>
        <w:jc w:val="both"/>
        <w:rPr>
          <w:rFonts w:ascii="Arial" w:eastAsia="Times New Roman" w:hAnsi="Arial" w:cs="Arial"/>
          <w:color w:val="000000" w:themeColor="text1"/>
          <w:sz w:val="29"/>
          <w:szCs w:val="29"/>
          <w:lang w:eastAsia="en-GB"/>
        </w:rPr>
      </w:pPr>
      <w:r w:rsidRPr="00213429">
        <w:rPr>
          <w:rFonts w:ascii="Arial" w:eastAsia="Times New Roman" w:hAnsi="Arial" w:cs="Arial"/>
          <w:color w:val="000000" w:themeColor="text1"/>
          <w:sz w:val="29"/>
          <w:szCs w:val="29"/>
          <w:lang w:eastAsia="en-GB"/>
        </w:rPr>
        <w:t>sexually transmitted infections (STI) testing and treatment, chlamydia screening and HIV testing</w:t>
      </w:r>
      <w:r w:rsidRPr="00213429">
        <w:rPr>
          <w:rStyle w:val="FootnoteReference"/>
          <w:rFonts w:ascii="Arial" w:eastAsia="Times New Roman" w:hAnsi="Arial" w:cs="Arial"/>
          <w:color w:val="000000" w:themeColor="text1"/>
          <w:sz w:val="29"/>
          <w:szCs w:val="29"/>
          <w:lang w:eastAsia="en-GB"/>
        </w:rPr>
        <w:footnoteReference w:id="3"/>
      </w:r>
    </w:p>
    <w:p w14:paraId="116CC162" w14:textId="77777777" w:rsidR="00F15F6F" w:rsidRPr="00213429" w:rsidRDefault="00F15F6F" w:rsidP="00B777CD">
      <w:pPr>
        <w:numPr>
          <w:ilvl w:val="0"/>
          <w:numId w:val="5"/>
        </w:numPr>
        <w:shd w:val="clear" w:color="auto" w:fill="FFFFFF"/>
        <w:spacing w:after="75" w:line="240" w:lineRule="auto"/>
        <w:ind w:left="1020"/>
        <w:jc w:val="both"/>
        <w:rPr>
          <w:rFonts w:ascii="Arial" w:eastAsia="Times New Roman" w:hAnsi="Arial" w:cs="Arial"/>
          <w:color w:val="000000" w:themeColor="text1"/>
          <w:sz w:val="29"/>
          <w:szCs w:val="29"/>
          <w:lang w:eastAsia="en-GB"/>
        </w:rPr>
      </w:pPr>
      <w:r w:rsidRPr="00213429">
        <w:rPr>
          <w:rFonts w:ascii="Arial" w:eastAsia="Times New Roman" w:hAnsi="Arial" w:cs="Arial"/>
          <w:color w:val="000000" w:themeColor="text1"/>
          <w:sz w:val="29"/>
          <w:szCs w:val="29"/>
          <w:lang w:eastAsia="en-GB"/>
        </w:rPr>
        <w:t xml:space="preserve">specialist services, including young people’s sexual health, teenage pregnancy services, outreach, HIV prevention, sexual health promotion, services in schools, </w:t>
      </w:r>
      <w:proofErr w:type="gramStart"/>
      <w:r w:rsidRPr="00213429">
        <w:rPr>
          <w:rFonts w:ascii="Arial" w:eastAsia="Times New Roman" w:hAnsi="Arial" w:cs="Arial"/>
          <w:color w:val="000000" w:themeColor="text1"/>
          <w:sz w:val="29"/>
          <w:szCs w:val="29"/>
          <w:lang w:eastAsia="en-GB"/>
        </w:rPr>
        <w:t>college</w:t>
      </w:r>
      <w:proofErr w:type="gramEnd"/>
      <w:r w:rsidRPr="00213429">
        <w:rPr>
          <w:rFonts w:ascii="Arial" w:eastAsia="Times New Roman" w:hAnsi="Arial" w:cs="Arial"/>
          <w:color w:val="000000" w:themeColor="text1"/>
          <w:sz w:val="29"/>
          <w:szCs w:val="29"/>
          <w:lang w:eastAsia="en-GB"/>
        </w:rPr>
        <w:t xml:space="preserve"> and pharmacies</w:t>
      </w:r>
    </w:p>
    <w:p w14:paraId="144384F3" w14:textId="77777777" w:rsidR="00F15F6F" w:rsidRPr="00C70F07" w:rsidRDefault="00F15F6F" w:rsidP="00B777CD">
      <w:pPr>
        <w:shd w:val="clear" w:color="auto" w:fill="FFFFFF"/>
        <w:spacing w:after="75" w:line="240" w:lineRule="auto"/>
        <w:ind w:left="1020"/>
        <w:jc w:val="both"/>
        <w:rPr>
          <w:rFonts w:ascii="Arial" w:eastAsia="Times New Roman" w:hAnsi="Arial" w:cs="Arial"/>
          <w:color w:val="0B0C0C"/>
          <w:sz w:val="29"/>
          <w:szCs w:val="29"/>
          <w:lang w:eastAsia="en-GB"/>
        </w:rPr>
      </w:pPr>
    </w:p>
    <w:p w14:paraId="7D502887" w14:textId="77777777" w:rsidR="00F15F6F" w:rsidRDefault="00F15F6F" w:rsidP="00B777CD">
      <w:pPr>
        <w:jc w:val="both"/>
        <w:rPr>
          <w:rFonts w:ascii="Arial" w:hAnsi="Arial" w:cs="Arial"/>
          <w:sz w:val="28"/>
          <w:szCs w:val="28"/>
        </w:rPr>
      </w:pPr>
      <w:r>
        <w:rPr>
          <w:rFonts w:ascii="Arial" w:hAnsi="Arial" w:cs="Arial"/>
          <w:sz w:val="28"/>
          <w:szCs w:val="28"/>
        </w:rPr>
        <w:t xml:space="preserve">In York, sexual health services are delivered through an integrated model. This allows for genitourinary medicine (GUM) and contraception and sexual health (CASH) services to be delivered through a main hub and spoke sites. </w:t>
      </w:r>
    </w:p>
    <w:p w14:paraId="072FC379" w14:textId="77777777" w:rsidR="00F15F6F" w:rsidRPr="00213429" w:rsidRDefault="00F15F6F" w:rsidP="00B777CD">
      <w:pPr>
        <w:jc w:val="both"/>
        <w:rPr>
          <w:rFonts w:ascii="Arial" w:hAnsi="Arial" w:cs="Arial"/>
          <w:b/>
          <w:bCs/>
          <w:sz w:val="28"/>
          <w:szCs w:val="28"/>
        </w:rPr>
      </w:pPr>
      <w:r w:rsidRPr="00213429">
        <w:rPr>
          <w:rFonts w:ascii="Arial" w:hAnsi="Arial" w:cs="Arial"/>
          <w:b/>
          <w:bCs/>
          <w:sz w:val="28"/>
          <w:szCs w:val="28"/>
        </w:rPr>
        <w:t xml:space="preserve">Hub site: </w:t>
      </w:r>
    </w:p>
    <w:p w14:paraId="4E6AB952" w14:textId="77777777" w:rsidR="00F15F6F" w:rsidRDefault="00F15F6F" w:rsidP="00B777CD">
      <w:pPr>
        <w:jc w:val="both"/>
        <w:rPr>
          <w:rFonts w:ascii="Arial" w:hAnsi="Arial" w:cs="Arial"/>
          <w:sz w:val="28"/>
          <w:szCs w:val="28"/>
        </w:rPr>
      </w:pPr>
      <w:proofErr w:type="spellStart"/>
      <w:r>
        <w:rPr>
          <w:rFonts w:ascii="Arial" w:hAnsi="Arial" w:cs="Arial"/>
          <w:sz w:val="28"/>
          <w:szCs w:val="28"/>
        </w:rPr>
        <w:t>Monkgate</w:t>
      </w:r>
      <w:proofErr w:type="spellEnd"/>
      <w:r>
        <w:rPr>
          <w:rFonts w:ascii="Arial" w:hAnsi="Arial" w:cs="Arial"/>
          <w:sz w:val="28"/>
          <w:szCs w:val="28"/>
        </w:rPr>
        <w:t xml:space="preserve"> Health Centre, YO31 7WA</w:t>
      </w:r>
    </w:p>
    <w:p w14:paraId="6F5459C0" w14:textId="77777777" w:rsidR="00F15F6F" w:rsidRDefault="00F15F6F" w:rsidP="00B777CD">
      <w:pPr>
        <w:jc w:val="both"/>
        <w:rPr>
          <w:rFonts w:ascii="Arial" w:hAnsi="Arial" w:cs="Arial"/>
          <w:sz w:val="28"/>
          <w:szCs w:val="28"/>
        </w:rPr>
      </w:pPr>
    </w:p>
    <w:p w14:paraId="12040839" w14:textId="77777777" w:rsidR="00F15F6F" w:rsidRPr="00213429" w:rsidRDefault="00F15F6F" w:rsidP="00B777CD">
      <w:pPr>
        <w:jc w:val="both"/>
        <w:rPr>
          <w:rFonts w:ascii="Arial" w:hAnsi="Arial" w:cs="Arial"/>
          <w:b/>
          <w:bCs/>
          <w:sz w:val="28"/>
          <w:szCs w:val="28"/>
        </w:rPr>
      </w:pPr>
      <w:r w:rsidRPr="00213429">
        <w:rPr>
          <w:rFonts w:ascii="Arial" w:hAnsi="Arial" w:cs="Arial"/>
          <w:b/>
          <w:bCs/>
          <w:sz w:val="28"/>
          <w:szCs w:val="28"/>
        </w:rPr>
        <w:t>Spoke sites:</w:t>
      </w:r>
    </w:p>
    <w:p w14:paraId="3FBC34B8" w14:textId="77777777" w:rsidR="00F15F6F" w:rsidRDefault="00F15F6F" w:rsidP="00B777CD">
      <w:pPr>
        <w:jc w:val="both"/>
        <w:rPr>
          <w:rFonts w:ascii="Arial" w:hAnsi="Arial" w:cs="Arial"/>
          <w:sz w:val="28"/>
          <w:szCs w:val="28"/>
        </w:rPr>
      </w:pPr>
      <w:r>
        <w:rPr>
          <w:rFonts w:ascii="Arial" w:hAnsi="Arial" w:cs="Arial"/>
          <w:sz w:val="28"/>
          <w:szCs w:val="28"/>
        </w:rPr>
        <w:t>Unity Health, Wenlock Terrace (BPAS), YO10 4DU</w:t>
      </w:r>
    </w:p>
    <w:p w14:paraId="323F51A8" w14:textId="77777777" w:rsidR="00F15F6F" w:rsidRDefault="00F15F6F" w:rsidP="00B777CD">
      <w:pPr>
        <w:jc w:val="both"/>
        <w:rPr>
          <w:rFonts w:ascii="Arial" w:hAnsi="Arial" w:cs="Arial"/>
          <w:sz w:val="28"/>
          <w:szCs w:val="28"/>
        </w:rPr>
      </w:pPr>
      <w:r>
        <w:rPr>
          <w:rFonts w:ascii="Arial" w:hAnsi="Arial" w:cs="Arial"/>
          <w:sz w:val="28"/>
          <w:szCs w:val="28"/>
        </w:rPr>
        <w:lastRenderedPageBreak/>
        <w:t xml:space="preserve">Acomb Front Street, YO24 3BZ </w:t>
      </w:r>
      <w:r w:rsidRPr="00BB5AB7">
        <w:rPr>
          <w:rFonts w:ascii="Arial" w:hAnsi="Arial" w:cs="Arial"/>
          <w:b/>
          <w:bCs/>
          <w:color w:val="FF0000"/>
          <w:sz w:val="28"/>
          <w:szCs w:val="28"/>
        </w:rPr>
        <w:t>*temporarily closed*</w:t>
      </w:r>
      <w:r>
        <w:rPr>
          <w:rFonts w:ascii="Arial" w:hAnsi="Arial" w:cs="Arial"/>
          <w:b/>
          <w:bCs/>
          <w:color w:val="FF0000"/>
          <w:sz w:val="28"/>
          <w:szCs w:val="28"/>
        </w:rPr>
        <w:t xml:space="preserve"> </w:t>
      </w:r>
      <w:r w:rsidRPr="00B136D7">
        <w:rPr>
          <w:rFonts w:ascii="Arial" w:hAnsi="Arial" w:cs="Arial"/>
          <w:color w:val="4472C4" w:themeColor="accent1"/>
          <w:sz w:val="28"/>
          <w:szCs w:val="28"/>
        </w:rPr>
        <w:t>plans to reopen</w:t>
      </w:r>
      <w:r w:rsidRPr="00B136D7">
        <w:rPr>
          <w:rFonts w:ascii="Arial" w:hAnsi="Arial" w:cs="Arial"/>
          <w:b/>
          <w:bCs/>
          <w:color w:val="4472C4" w:themeColor="accent1"/>
          <w:sz w:val="28"/>
          <w:szCs w:val="28"/>
        </w:rPr>
        <w:t xml:space="preserve"> </w:t>
      </w:r>
    </w:p>
    <w:p w14:paraId="422C7991" w14:textId="77777777" w:rsidR="00F15F6F" w:rsidRDefault="00F15F6F" w:rsidP="00B777CD">
      <w:pPr>
        <w:jc w:val="both"/>
        <w:rPr>
          <w:rFonts w:ascii="Arial" w:hAnsi="Arial" w:cs="Arial"/>
          <w:sz w:val="28"/>
          <w:szCs w:val="28"/>
        </w:rPr>
      </w:pPr>
      <w:r>
        <w:rPr>
          <w:rFonts w:ascii="Arial" w:hAnsi="Arial" w:cs="Arial"/>
          <w:sz w:val="28"/>
          <w:szCs w:val="28"/>
        </w:rPr>
        <w:t xml:space="preserve">University of York, YO10 5DD </w:t>
      </w:r>
      <w:r w:rsidRPr="00BB5AB7">
        <w:rPr>
          <w:rFonts w:ascii="Arial" w:hAnsi="Arial" w:cs="Arial"/>
          <w:b/>
          <w:bCs/>
          <w:color w:val="FF0000"/>
          <w:sz w:val="28"/>
          <w:szCs w:val="28"/>
        </w:rPr>
        <w:t>*temporarily closed*</w:t>
      </w:r>
      <w:r>
        <w:rPr>
          <w:rFonts w:ascii="Arial" w:hAnsi="Arial" w:cs="Arial"/>
          <w:b/>
          <w:bCs/>
          <w:color w:val="FF0000"/>
          <w:sz w:val="28"/>
          <w:szCs w:val="28"/>
        </w:rPr>
        <w:t xml:space="preserve"> </w:t>
      </w:r>
      <w:r w:rsidRPr="00B136D7">
        <w:rPr>
          <w:rFonts w:ascii="Arial" w:hAnsi="Arial" w:cs="Arial"/>
          <w:color w:val="4472C4" w:themeColor="accent1"/>
          <w:sz w:val="28"/>
          <w:szCs w:val="28"/>
        </w:rPr>
        <w:t>plans to reopen</w:t>
      </w:r>
    </w:p>
    <w:p w14:paraId="3F4079DB" w14:textId="0DB4F180" w:rsidR="00F15F6F" w:rsidRDefault="00F15F6F" w:rsidP="00B777CD">
      <w:pPr>
        <w:jc w:val="both"/>
        <w:rPr>
          <w:rFonts w:ascii="Arial" w:hAnsi="Arial" w:cs="Arial"/>
          <w:color w:val="4472C4" w:themeColor="accent1"/>
          <w:sz w:val="28"/>
          <w:szCs w:val="28"/>
        </w:rPr>
      </w:pPr>
      <w:proofErr w:type="spellStart"/>
      <w:r>
        <w:rPr>
          <w:rFonts w:ascii="Arial" w:hAnsi="Arial" w:cs="Arial"/>
          <w:sz w:val="28"/>
          <w:szCs w:val="28"/>
        </w:rPr>
        <w:t>Askham</w:t>
      </w:r>
      <w:proofErr w:type="spellEnd"/>
      <w:r>
        <w:rPr>
          <w:rFonts w:ascii="Arial" w:hAnsi="Arial" w:cs="Arial"/>
          <w:sz w:val="28"/>
          <w:szCs w:val="28"/>
        </w:rPr>
        <w:t xml:space="preserve"> Bryan College, YO3 3FR </w:t>
      </w:r>
      <w:r w:rsidRPr="00BB5AB7">
        <w:rPr>
          <w:rFonts w:ascii="Arial" w:hAnsi="Arial" w:cs="Arial"/>
          <w:b/>
          <w:bCs/>
          <w:color w:val="FF0000"/>
          <w:sz w:val="28"/>
          <w:szCs w:val="28"/>
        </w:rPr>
        <w:t>*temporarily closed*</w:t>
      </w:r>
      <w:r>
        <w:rPr>
          <w:rFonts w:ascii="Arial" w:hAnsi="Arial" w:cs="Arial"/>
          <w:b/>
          <w:bCs/>
          <w:color w:val="FF0000"/>
          <w:sz w:val="28"/>
          <w:szCs w:val="28"/>
        </w:rPr>
        <w:t xml:space="preserve"> </w:t>
      </w:r>
      <w:r w:rsidRPr="00B136D7">
        <w:rPr>
          <w:rFonts w:ascii="Arial" w:hAnsi="Arial" w:cs="Arial"/>
          <w:color w:val="4472C4" w:themeColor="accent1"/>
          <w:sz w:val="28"/>
          <w:szCs w:val="28"/>
        </w:rPr>
        <w:t>plans to reopen</w:t>
      </w:r>
    </w:p>
    <w:p w14:paraId="71A1623C" w14:textId="77777777" w:rsidR="00F15F6F" w:rsidRDefault="00F15F6F" w:rsidP="00B777CD">
      <w:pPr>
        <w:jc w:val="both"/>
        <w:rPr>
          <w:rFonts w:ascii="Arial" w:hAnsi="Arial" w:cs="Arial"/>
          <w:sz w:val="28"/>
          <w:szCs w:val="28"/>
        </w:rPr>
      </w:pPr>
    </w:p>
    <w:p w14:paraId="278F99A8" w14:textId="2922D93A" w:rsidR="00F15F6F" w:rsidRDefault="00F15F6F" w:rsidP="00B777CD">
      <w:pPr>
        <w:jc w:val="both"/>
        <w:rPr>
          <w:rFonts w:ascii="Arial" w:hAnsi="Arial" w:cs="Arial"/>
          <w:sz w:val="28"/>
          <w:szCs w:val="28"/>
        </w:rPr>
      </w:pPr>
      <w:r w:rsidRPr="00213429">
        <w:rPr>
          <w:rFonts w:ascii="Arial" w:hAnsi="Arial" w:cs="Arial"/>
          <w:b/>
          <w:bCs/>
          <w:sz w:val="28"/>
          <w:szCs w:val="28"/>
        </w:rPr>
        <w:t>Comment:</w:t>
      </w:r>
      <w:r>
        <w:rPr>
          <w:rFonts w:ascii="Arial" w:hAnsi="Arial" w:cs="Arial"/>
          <w:sz w:val="28"/>
          <w:szCs w:val="28"/>
        </w:rPr>
        <w:t xml:space="preserve"> Prior to the COVID-19 pandemic, three spoke sites provided satellite services across York, particularly where higher and further education facilities were proximal. As a result of the pandemic, these spoke sites were temporarily closed. There is discussion to reopen these </w:t>
      </w:r>
      <w:proofErr w:type="gramStart"/>
      <w:r>
        <w:rPr>
          <w:rFonts w:ascii="Arial" w:hAnsi="Arial" w:cs="Arial"/>
          <w:sz w:val="28"/>
          <w:szCs w:val="28"/>
        </w:rPr>
        <w:t>in the near future</w:t>
      </w:r>
      <w:proofErr w:type="gramEnd"/>
      <w:r>
        <w:rPr>
          <w:rFonts w:ascii="Arial" w:hAnsi="Arial" w:cs="Arial"/>
          <w:sz w:val="28"/>
          <w:szCs w:val="28"/>
        </w:rPr>
        <w:t xml:space="preserve">. </w:t>
      </w:r>
    </w:p>
    <w:p w14:paraId="38F442D7" w14:textId="77777777" w:rsidR="00F15F6F" w:rsidRDefault="00F15F6F" w:rsidP="00B777CD">
      <w:pPr>
        <w:jc w:val="both"/>
        <w:rPr>
          <w:rFonts w:ascii="Arial" w:hAnsi="Arial" w:cs="Arial"/>
          <w:sz w:val="28"/>
          <w:szCs w:val="28"/>
        </w:rPr>
      </w:pPr>
    </w:p>
    <w:p w14:paraId="07C013E6" w14:textId="77777777" w:rsidR="00DD7D30" w:rsidRDefault="00DD7D30" w:rsidP="00B777CD">
      <w:pPr>
        <w:jc w:val="both"/>
        <w:rPr>
          <w:rFonts w:ascii="Arial" w:hAnsi="Arial" w:cs="Arial"/>
          <w:sz w:val="28"/>
          <w:szCs w:val="28"/>
        </w:rPr>
      </w:pPr>
      <w:r>
        <w:rPr>
          <w:rFonts w:ascii="Arial" w:hAnsi="Arial" w:cs="Arial"/>
          <w:sz w:val="28"/>
          <w:szCs w:val="28"/>
        </w:rPr>
        <w:t>As of July 2022, Clinical Commissioning Groups become Integrated Care Systems (ICS). The Humber and North Yorkshire Heath and Care Partnership now has a single NHS Integrated Care Board (ICB) which oversees the day-to-day running of services provided by The York &amp; Scarborough NHS Trust. The ICB is responsible for commissioning the following services:</w:t>
      </w:r>
    </w:p>
    <w:p w14:paraId="6EC81B05" w14:textId="77777777" w:rsidR="00DD7D30" w:rsidRDefault="00DD7D30" w:rsidP="00B777CD">
      <w:pPr>
        <w:pStyle w:val="ListParagraph"/>
        <w:numPr>
          <w:ilvl w:val="0"/>
          <w:numId w:val="6"/>
        </w:numPr>
        <w:jc w:val="both"/>
        <w:rPr>
          <w:rFonts w:ascii="Arial" w:hAnsi="Arial" w:cs="Arial"/>
          <w:sz w:val="28"/>
          <w:szCs w:val="28"/>
        </w:rPr>
      </w:pPr>
      <w:r>
        <w:rPr>
          <w:rFonts w:ascii="Arial" w:hAnsi="Arial" w:cs="Arial"/>
          <w:sz w:val="28"/>
          <w:szCs w:val="28"/>
        </w:rPr>
        <w:t>most pregnancy termination services</w:t>
      </w:r>
    </w:p>
    <w:p w14:paraId="0DC17F10" w14:textId="77777777" w:rsidR="00DD7D30" w:rsidRDefault="00DD7D30" w:rsidP="00B777CD">
      <w:pPr>
        <w:pStyle w:val="ListParagraph"/>
        <w:numPr>
          <w:ilvl w:val="0"/>
          <w:numId w:val="6"/>
        </w:numPr>
        <w:jc w:val="both"/>
        <w:rPr>
          <w:rFonts w:ascii="Arial" w:hAnsi="Arial" w:cs="Arial"/>
          <w:sz w:val="28"/>
          <w:szCs w:val="28"/>
        </w:rPr>
      </w:pPr>
      <w:r>
        <w:rPr>
          <w:rFonts w:ascii="Arial" w:hAnsi="Arial" w:cs="Arial"/>
          <w:sz w:val="28"/>
          <w:szCs w:val="28"/>
        </w:rPr>
        <w:t>sterilisation</w:t>
      </w:r>
    </w:p>
    <w:p w14:paraId="5334402F" w14:textId="77777777" w:rsidR="00DD7D30" w:rsidRDefault="00DD7D30" w:rsidP="00B777CD">
      <w:pPr>
        <w:pStyle w:val="ListParagraph"/>
        <w:numPr>
          <w:ilvl w:val="0"/>
          <w:numId w:val="6"/>
        </w:numPr>
        <w:jc w:val="both"/>
        <w:rPr>
          <w:rFonts w:ascii="Arial" w:hAnsi="Arial" w:cs="Arial"/>
          <w:sz w:val="28"/>
          <w:szCs w:val="28"/>
        </w:rPr>
      </w:pPr>
      <w:r>
        <w:rPr>
          <w:rFonts w:ascii="Arial" w:hAnsi="Arial" w:cs="Arial"/>
          <w:sz w:val="28"/>
          <w:szCs w:val="28"/>
        </w:rPr>
        <w:t>vasectomy</w:t>
      </w:r>
    </w:p>
    <w:p w14:paraId="168F2DD5" w14:textId="77777777" w:rsidR="00DD7D30" w:rsidRDefault="00DD7D30" w:rsidP="00B777CD">
      <w:pPr>
        <w:pStyle w:val="ListParagraph"/>
        <w:numPr>
          <w:ilvl w:val="0"/>
          <w:numId w:val="6"/>
        </w:numPr>
        <w:jc w:val="both"/>
        <w:rPr>
          <w:rFonts w:ascii="Arial" w:hAnsi="Arial" w:cs="Arial"/>
          <w:sz w:val="28"/>
          <w:szCs w:val="28"/>
        </w:rPr>
      </w:pPr>
      <w:r>
        <w:rPr>
          <w:rFonts w:ascii="Arial" w:hAnsi="Arial" w:cs="Arial"/>
          <w:sz w:val="28"/>
          <w:szCs w:val="28"/>
        </w:rPr>
        <w:t>non-sexual health elements of psychosexual health services</w:t>
      </w:r>
    </w:p>
    <w:p w14:paraId="0DDE074B" w14:textId="508530C7" w:rsidR="00DD7D30" w:rsidRDefault="00DD7D30" w:rsidP="00B777CD">
      <w:pPr>
        <w:pStyle w:val="ListParagraph"/>
        <w:numPr>
          <w:ilvl w:val="0"/>
          <w:numId w:val="6"/>
        </w:numPr>
        <w:jc w:val="both"/>
        <w:rPr>
          <w:rFonts w:ascii="Arial" w:hAnsi="Arial" w:cs="Arial"/>
          <w:sz w:val="28"/>
          <w:szCs w:val="28"/>
        </w:rPr>
      </w:pPr>
      <w:r>
        <w:rPr>
          <w:rFonts w:ascii="Arial" w:hAnsi="Arial" w:cs="Arial"/>
          <w:sz w:val="28"/>
          <w:szCs w:val="28"/>
        </w:rPr>
        <w:t>gynaecology, including any use of contraception for non-contraceptive purposes</w:t>
      </w:r>
    </w:p>
    <w:p w14:paraId="19CA8398" w14:textId="6DACAC9E" w:rsidR="00DD7D30" w:rsidRPr="00C70F07" w:rsidRDefault="00DD7D30" w:rsidP="00B777CD">
      <w:pPr>
        <w:jc w:val="both"/>
        <w:rPr>
          <w:rFonts w:ascii="Arial" w:hAnsi="Arial" w:cs="Arial"/>
          <w:sz w:val="28"/>
          <w:szCs w:val="28"/>
        </w:rPr>
      </w:pPr>
    </w:p>
    <w:p w14:paraId="09270C4E"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NHS England is responsible for commissioning the following services:</w:t>
      </w:r>
    </w:p>
    <w:p w14:paraId="3A0FB4A6" w14:textId="77777777" w:rsidR="00DD7D30" w:rsidRPr="009369EF" w:rsidRDefault="00DD7D30" w:rsidP="00B777CD">
      <w:pPr>
        <w:pStyle w:val="ListParagraph"/>
        <w:numPr>
          <w:ilvl w:val="0"/>
          <w:numId w:val="7"/>
        </w:numPr>
        <w:jc w:val="both"/>
        <w:rPr>
          <w:rFonts w:ascii="Arial" w:hAnsi="Arial" w:cs="Arial"/>
          <w:color w:val="000000" w:themeColor="text1"/>
          <w:sz w:val="28"/>
          <w:szCs w:val="28"/>
        </w:rPr>
      </w:pPr>
      <w:r w:rsidRPr="009369EF">
        <w:rPr>
          <w:rFonts w:ascii="Arial" w:hAnsi="Arial" w:cs="Arial"/>
          <w:color w:val="000000" w:themeColor="text1"/>
          <w:sz w:val="28"/>
          <w:szCs w:val="28"/>
        </w:rPr>
        <w:t>contraception provided as an additional service under the GP contract</w:t>
      </w:r>
    </w:p>
    <w:p w14:paraId="07921382" w14:textId="77777777" w:rsidR="00DD7D30" w:rsidRPr="009369EF" w:rsidRDefault="00DD7D30" w:rsidP="00B777CD">
      <w:pPr>
        <w:numPr>
          <w:ilvl w:val="0"/>
          <w:numId w:val="7"/>
        </w:numPr>
        <w:shd w:val="clear" w:color="auto" w:fill="FFFFFF"/>
        <w:spacing w:after="75" w:line="240" w:lineRule="auto"/>
        <w:jc w:val="both"/>
        <w:rPr>
          <w:rFonts w:ascii="Arial" w:eastAsia="Times New Roman" w:hAnsi="Arial" w:cs="Arial"/>
          <w:color w:val="000000" w:themeColor="text1"/>
          <w:sz w:val="29"/>
          <w:szCs w:val="29"/>
          <w:lang w:eastAsia="en-GB"/>
        </w:rPr>
      </w:pPr>
      <w:r w:rsidRPr="009369EF">
        <w:rPr>
          <w:rFonts w:ascii="Arial" w:eastAsia="Times New Roman" w:hAnsi="Arial" w:cs="Arial"/>
          <w:color w:val="000000" w:themeColor="text1"/>
          <w:sz w:val="29"/>
          <w:szCs w:val="29"/>
          <w:lang w:eastAsia="en-GB"/>
        </w:rPr>
        <w:t>HIV treatment and care (including drug costs for PEPSE)</w:t>
      </w:r>
    </w:p>
    <w:p w14:paraId="0A03157B" w14:textId="77777777" w:rsidR="00DD7D30" w:rsidRPr="009369EF" w:rsidRDefault="00DD7D30" w:rsidP="00B777CD">
      <w:pPr>
        <w:numPr>
          <w:ilvl w:val="0"/>
          <w:numId w:val="7"/>
        </w:numPr>
        <w:shd w:val="clear" w:color="auto" w:fill="FFFFFF"/>
        <w:spacing w:after="75" w:line="240" w:lineRule="auto"/>
        <w:jc w:val="both"/>
        <w:rPr>
          <w:rFonts w:ascii="Arial" w:eastAsia="Times New Roman" w:hAnsi="Arial" w:cs="Arial"/>
          <w:color w:val="000000" w:themeColor="text1"/>
          <w:sz w:val="29"/>
          <w:szCs w:val="29"/>
          <w:lang w:eastAsia="en-GB"/>
        </w:rPr>
      </w:pPr>
      <w:r w:rsidRPr="009369EF">
        <w:rPr>
          <w:rFonts w:ascii="Arial" w:eastAsia="Times New Roman" w:hAnsi="Arial" w:cs="Arial"/>
          <w:color w:val="000000" w:themeColor="text1"/>
          <w:sz w:val="29"/>
          <w:szCs w:val="29"/>
          <w:lang w:eastAsia="en-GB"/>
        </w:rPr>
        <w:t>promotion of opportunistic testing and treatment for STIs and patient-requested testing by GPs</w:t>
      </w:r>
    </w:p>
    <w:p w14:paraId="335BCC74" w14:textId="77777777" w:rsidR="00DD7D30" w:rsidRPr="009369EF" w:rsidRDefault="00DD7D30" w:rsidP="00B777CD">
      <w:pPr>
        <w:numPr>
          <w:ilvl w:val="0"/>
          <w:numId w:val="7"/>
        </w:numPr>
        <w:shd w:val="clear" w:color="auto" w:fill="FFFFFF"/>
        <w:spacing w:after="75" w:line="240" w:lineRule="auto"/>
        <w:jc w:val="both"/>
        <w:rPr>
          <w:rFonts w:ascii="Arial" w:eastAsia="Times New Roman" w:hAnsi="Arial" w:cs="Arial"/>
          <w:color w:val="000000" w:themeColor="text1"/>
          <w:sz w:val="29"/>
          <w:szCs w:val="29"/>
          <w:lang w:eastAsia="en-GB"/>
        </w:rPr>
      </w:pPr>
      <w:r w:rsidRPr="009369EF">
        <w:rPr>
          <w:rFonts w:ascii="Arial" w:eastAsia="Times New Roman" w:hAnsi="Arial" w:cs="Arial"/>
          <w:color w:val="000000" w:themeColor="text1"/>
          <w:sz w:val="29"/>
          <w:szCs w:val="29"/>
          <w:lang w:eastAsia="en-GB"/>
        </w:rPr>
        <w:t>sexual health elements of prison health services</w:t>
      </w:r>
    </w:p>
    <w:p w14:paraId="63BF3D87" w14:textId="77777777" w:rsidR="00DD7D30" w:rsidRPr="009369EF" w:rsidRDefault="00DD7D30" w:rsidP="00B777CD">
      <w:pPr>
        <w:numPr>
          <w:ilvl w:val="0"/>
          <w:numId w:val="7"/>
        </w:numPr>
        <w:shd w:val="clear" w:color="auto" w:fill="FFFFFF"/>
        <w:spacing w:after="75" w:line="240" w:lineRule="auto"/>
        <w:jc w:val="both"/>
        <w:rPr>
          <w:rFonts w:ascii="Arial" w:eastAsia="Times New Roman" w:hAnsi="Arial" w:cs="Arial"/>
          <w:color w:val="000000" w:themeColor="text1"/>
          <w:sz w:val="29"/>
          <w:szCs w:val="29"/>
          <w:lang w:eastAsia="en-GB"/>
        </w:rPr>
      </w:pPr>
      <w:r w:rsidRPr="009369EF">
        <w:rPr>
          <w:rFonts w:ascii="Arial" w:eastAsia="Times New Roman" w:hAnsi="Arial" w:cs="Arial"/>
          <w:color w:val="000000" w:themeColor="text1"/>
          <w:sz w:val="29"/>
          <w:szCs w:val="29"/>
          <w:lang w:eastAsia="en-GB"/>
        </w:rPr>
        <w:t>sexual assault referral centres</w:t>
      </w:r>
    </w:p>
    <w:p w14:paraId="3AA85782" w14:textId="77777777" w:rsidR="00DD7D30" w:rsidRPr="009369EF" w:rsidRDefault="00DD7D30" w:rsidP="00B777CD">
      <w:pPr>
        <w:numPr>
          <w:ilvl w:val="0"/>
          <w:numId w:val="7"/>
        </w:numPr>
        <w:shd w:val="clear" w:color="auto" w:fill="FFFFFF"/>
        <w:spacing w:after="75" w:line="240" w:lineRule="auto"/>
        <w:jc w:val="both"/>
        <w:rPr>
          <w:rFonts w:ascii="Arial" w:eastAsia="Times New Roman" w:hAnsi="Arial" w:cs="Arial"/>
          <w:color w:val="000000" w:themeColor="text1"/>
          <w:sz w:val="29"/>
          <w:szCs w:val="29"/>
          <w:lang w:eastAsia="en-GB"/>
        </w:rPr>
      </w:pPr>
      <w:r w:rsidRPr="009369EF">
        <w:rPr>
          <w:rFonts w:ascii="Arial" w:eastAsia="Times New Roman" w:hAnsi="Arial" w:cs="Arial"/>
          <w:color w:val="000000" w:themeColor="text1"/>
          <w:sz w:val="29"/>
          <w:szCs w:val="29"/>
          <w:lang w:eastAsia="en-GB"/>
        </w:rPr>
        <w:t>cervical screening</w:t>
      </w:r>
    </w:p>
    <w:p w14:paraId="6731EC8B" w14:textId="77777777" w:rsidR="00DD7D30" w:rsidRPr="009369EF" w:rsidRDefault="00DD7D30" w:rsidP="00B777CD">
      <w:pPr>
        <w:numPr>
          <w:ilvl w:val="0"/>
          <w:numId w:val="7"/>
        </w:numPr>
        <w:shd w:val="clear" w:color="auto" w:fill="FFFFFF"/>
        <w:spacing w:after="75" w:line="240" w:lineRule="auto"/>
        <w:jc w:val="both"/>
        <w:rPr>
          <w:rFonts w:ascii="Arial" w:eastAsia="Times New Roman" w:hAnsi="Arial" w:cs="Arial"/>
          <w:color w:val="000000" w:themeColor="text1"/>
          <w:sz w:val="29"/>
          <w:szCs w:val="29"/>
          <w:lang w:eastAsia="en-GB"/>
        </w:rPr>
      </w:pPr>
      <w:r w:rsidRPr="009369EF">
        <w:rPr>
          <w:rFonts w:ascii="Arial" w:eastAsia="Times New Roman" w:hAnsi="Arial" w:cs="Arial"/>
          <w:color w:val="000000" w:themeColor="text1"/>
          <w:sz w:val="29"/>
          <w:szCs w:val="29"/>
          <w:lang w:eastAsia="en-GB"/>
        </w:rPr>
        <w:t>specialist foetal medicine services</w:t>
      </w:r>
    </w:p>
    <w:p w14:paraId="014C73EE" w14:textId="77777777" w:rsidR="00DD7D30" w:rsidRDefault="00DD7D30" w:rsidP="00B777CD">
      <w:pPr>
        <w:pStyle w:val="ListParagraph"/>
        <w:jc w:val="both"/>
        <w:rPr>
          <w:rFonts w:ascii="Arial" w:hAnsi="Arial" w:cs="Arial"/>
          <w:sz w:val="28"/>
          <w:szCs w:val="28"/>
        </w:rPr>
      </w:pPr>
    </w:p>
    <w:p w14:paraId="6D08265C" w14:textId="77777777" w:rsidR="00DD7D30" w:rsidRDefault="00DD7D30" w:rsidP="00B777CD">
      <w:pPr>
        <w:pStyle w:val="ListParagraph"/>
        <w:ind w:left="0"/>
        <w:jc w:val="both"/>
        <w:rPr>
          <w:rFonts w:ascii="Arial" w:hAnsi="Arial" w:cs="Arial"/>
          <w:sz w:val="28"/>
          <w:szCs w:val="28"/>
        </w:rPr>
      </w:pPr>
      <w:r>
        <w:rPr>
          <w:rFonts w:ascii="Arial" w:hAnsi="Arial" w:cs="Arial"/>
          <w:sz w:val="28"/>
          <w:szCs w:val="28"/>
        </w:rPr>
        <w:t>Other sexual health services commissioned in York:</w:t>
      </w:r>
    </w:p>
    <w:p w14:paraId="6CB47A67" w14:textId="77777777" w:rsidR="00DD7D30" w:rsidRDefault="00DD7D30" w:rsidP="00B777CD">
      <w:pPr>
        <w:pStyle w:val="ListParagraph"/>
        <w:ind w:left="0"/>
        <w:jc w:val="both"/>
        <w:rPr>
          <w:rFonts w:ascii="Arial" w:hAnsi="Arial" w:cs="Arial"/>
          <w:sz w:val="28"/>
          <w:szCs w:val="28"/>
        </w:rPr>
      </w:pPr>
    </w:p>
    <w:p w14:paraId="62C8A4D9" w14:textId="37EEEFD6" w:rsidR="00DD7D30" w:rsidRDefault="00DD7D30" w:rsidP="00B777CD">
      <w:pPr>
        <w:pStyle w:val="ListParagraph"/>
        <w:ind w:left="0"/>
        <w:jc w:val="both"/>
        <w:rPr>
          <w:rFonts w:ascii="Arial" w:hAnsi="Arial" w:cs="Arial"/>
          <w:sz w:val="28"/>
          <w:szCs w:val="28"/>
        </w:rPr>
      </w:pPr>
      <w:r w:rsidRPr="006911D7">
        <w:rPr>
          <w:rFonts w:ascii="Arial" w:hAnsi="Arial" w:cs="Arial"/>
          <w:sz w:val="28"/>
          <w:szCs w:val="28"/>
        </w:rPr>
        <w:t xml:space="preserve">The commissioning of LARC in Primary Care in York is a shared responsibility between the council and the </w:t>
      </w:r>
      <w:r w:rsidR="003F562E">
        <w:rPr>
          <w:rFonts w:ascii="Arial" w:hAnsi="Arial" w:cs="Arial"/>
          <w:sz w:val="28"/>
          <w:szCs w:val="28"/>
        </w:rPr>
        <w:t>NHS Humber and North Yorkshire Integrated Care Board (ICB).</w:t>
      </w:r>
      <w:r w:rsidRPr="006911D7">
        <w:rPr>
          <w:rFonts w:ascii="Arial" w:hAnsi="Arial" w:cs="Arial"/>
          <w:sz w:val="28"/>
          <w:szCs w:val="28"/>
        </w:rPr>
        <w:t xml:space="preserve"> The</w:t>
      </w:r>
      <w:r>
        <w:rPr>
          <w:rFonts w:ascii="Arial" w:hAnsi="Arial" w:cs="Arial"/>
          <w:sz w:val="28"/>
          <w:szCs w:val="28"/>
        </w:rPr>
        <w:t xml:space="preserve"> </w:t>
      </w:r>
      <w:r w:rsidRPr="006911D7">
        <w:rPr>
          <w:rFonts w:ascii="Arial" w:hAnsi="Arial" w:cs="Arial"/>
          <w:sz w:val="28"/>
          <w:szCs w:val="28"/>
        </w:rPr>
        <w:t xml:space="preserve">service is commissioned by the council on behalf of the </w:t>
      </w:r>
      <w:r>
        <w:rPr>
          <w:rFonts w:ascii="Arial" w:hAnsi="Arial" w:cs="Arial"/>
          <w:sz w:val="28"/>
          <w:szCs w:val="28"/>
        </w:rPr>
        <w:t>IC</w:t>
      </w:r>
      <w:r w:rsidR="003F562E">
        <w:rPr>
          <w:rFonts w:ascii="Arial" w:hAnsi="Arial" w:cs="Arial"/>
          <w:sz w:val="28"/>
          <w:szCs w:val="28"/>
        </w:rPr>
        <w:t>B</w:t>
      </w:r>
      <w:r w:rsidRPr="006911D7">
        <w:rPr>
          <w:rFonts w:ascii="Arial" w:hAnsi="Arial" w:cs="Arial"/>
          <w:sz w:val="28"/>
          <w:szCs w:val="28"/>
        </w:rPr>
        <w:t xml:space="preserve"> via a Section 75 agreement dated 30 October 2019, which commits both organisations to commissioning LARC through shared responsibility and budget allocation. This Section 75 agreement is in place until 31st March 2026.</w:t>
      </w:r>
    </w:p>
    <w:p w14:paraId="4668F42B" w14:textId="77777777" w:rsidR="00DD7D30" w:rsidRPr="006911D7" w:rsidRDefault="00DD7D30" w:rsidP="00B777CD">
      <w:pPr>
        <w:pStyle w:val="ListParagraph"/>
        <w:ind w:left="0"/>
        <w:jc w:val="both"/>
        <w:rPr>
          <w:rFonts w:ascii="Arial" w:hAnsi="Arial" w:cs="Arial"/>
          <w:sz w:val="28"/>
          <w:szCs w:val="28"/>
        </w:rPr>
      </w:pPr>
    </w:p>
    <w:p w14:paraId="436BFF92" w14:textId="77777777" w:rsidR="00DD7D30" w:rsidRPr="00F1670C" w:rsidRDefault="00DD7D30" w:rsidP="00B777CD">
      <w:pPr>
        <w:jc w:val="both"/>
        <w:rPr>
          <w:rFonts w:ascii="Arial" w:hAnsi="Arial" w:cs="Arial"/>
          <w:sz w:val="28"/>
          <w:szCs w:val="28"/>
          <w:u w:val="single"/>
        </w:rPr>
      </w:pPr>
      <w:r w:rsidRPr="00F1670C">
        <w:rPr>
          <w:rFonts w:ascii="Arial" w:hAnsi="Arial" w:cs="Arial"/>
          <w:sz w:val="28"/>
          <w:szCs w:val="28"/>
          <w:u w:val="single"/>
        </w:rPr>
        <w:t>British Association for Sexual Health and HIV (BASHH) Guidelines</w:t>
      </w:r>
    </w:p>
    <w:p w14:paraId="213857BC" w14:textId="77777777" w:rsidR="00DD7D30" w:rsidRPr="009E150E" w:rsidRDefault="00DD7D30" w:rsidP="00B777CD">
      <w:pPr>
        <w:jc w:val="both"/>
        <w:rPr>
          <w:rFonts w:ascii="Arial" w:hAnsi="Arial" w:cs="Arial"/>
          <w:i/>
          <w:iCs/>
          <w:sz w:val="28"/>
          <w:szCs w:val="28"/>
        </w:rPr>
      </w:pPr>
      <w:r w:rsidRPr="009E150E">
        <w:rPr>
          <w:rFonts w:ascii="Arial" w:hAnsi="Arial" w:cs="Arial"/>
          <w:sz w:val="28"/>
          <w:szCs w:val="28"/>
        </w:rPr>
        <w:t xml:space="preserve">The British Association for Sexual Health and HIV produces </w:t>
      </w:r>
      <w:proofErr w:type="gramStart"/>
      <w:r w:rsidRPr="009E150E">
        <w:rPr>
          <w:rFonts w:ascii="Arial" w:hAnsi="Arial" w:cs="Arial"/>
          <w:sz w:val="28"/>
          <w:szCs w:val="28"/>
        </w:rPr>
        <w:t>a number of</w:t>
      </w:r>
      <w:proofErr w:type="gramEnd"/>
      <w:r w:rsidRPr="009E150E">
        <w:rPr>
          <w:rFonts w:ascii="Arial" w:hAnsi="Arial" w:cs="Arial"/>
          <w:sz w:val="28"/>
          <w:szCs w:val="28"/>
        </w:rPr>
        <w:t xml:space="preserve"> guidelines on the practical delivery of quality sexual health services. In total there are currently 25 recommendations which cover a wide range of sexual, reproductive, and gynaecological topics. Particularly relevant are the guidance documents on sexual history taking, STI testing and HIV1</w:t>
      </w:r>
    </w:p>
    <w:p w14:paraId="098A9D05" w14:textId="77777777" w:rsidR="00DD7D30" w:rsidRDefault="00DD7D30" w:rsidP="00B777CD">
      <w:pPr>
        <w:jc w:val="both"/>
        <w:rPr>
          <w:rFonts w:ascii="Arial" w:hAnsi="Arial" w:cs="Arial"/>
          <w:sz w:val="28"/>
          <w:szCs w:val="28"/>
        </w:rPr>
      </w:pPr>
      <w:r>
        <w:rPr>
          <w:rFonts w:ascii="Arial" w:hAnsi="Arial" w:cs="Arial"/>
          <w:sz w:val="28"/>
          <w:szCs w:val="28"/>
        </w:rPr>
        <w:t>There are five main public health outcome measures for these services. These are included in the Public Health Outcomes Framework profile:</w:t>
      </w:r>
    </w:p>
    <w:p w14:paraId="25B67480" w14:textId="77777777" w:rsidR="00DD7D30" w:rsidRPr="006E5D7B" w:rsidRDefault="00DD7D30" w:rsidP="00B777CD">
      <w:pPr>
        <w:pStyle w:val="ListParagraph"/>
        <w:numPr>
          <w:ilvl w:val="0"/>
          <w:numId w:val="8"/>
        </w:numPr>
        <w:spacing w:after="0" w:line="240" w:lineRule="auto"/>
        <w:jc w:val="both"/>
        <w:rPr>
          <w:rFonts w:ascii="Arial" w:hAnsi="Arial" w:cs="Arial"/>
          <w:sz w:val="28"/>
          <w:szCs w:val="28"/>
        </w:rPr>
      </w:pPr>
      <w:r w:rsidRPr="006E5D7B">
        <w:rPr>
          <w:rFonts w:ascii="Arial" w:hAnsi="Arial" w:cs="Arial"/>
          <w:sz w:val="28"/>
          <w:szCs w:val="28"/>
        </w:rPr>
        <w:t>under 18 conceptions</w:t>
      </w:r>
    </w:p>
    <w:p w14:paraId="63A0285E" w14:textId="77777777" w:rsidR="00DD7D30" w:rsidRPr="006E5D7B" w:rsidRDefault="00DD7D30" w:rsidP="00B777CD">
      <w:pPr>
        <w:pStyle w:val="ListParagraph"/>
        <w:numPr>
          <w:ilvl w:val="0"/>
          <w:numId w:val="8"/>
        </w:numPr>
        <w:spacing w:after="0" w:line="240" w:lineRule="auto"/>
        <w:jc w:val="both"/>
        <w:rPr>
          <w:rFonts w:ascii="Arial" w:hAnsi="Arial" w:cs="Arial"/>
          <w:sz w:val="28"/>
          <w:szCs w:val="28"/>
        </w:rPr>
      </w:pPr>
      <w:r w:rsidRPr="006E5D7B">
        <w:rPr>
          <w:rFonts w:ascii="Arial" w:hAnsi="Arial" w:cs="Arial"/>
          <w:sz w:val="28"/>
          <w:szCs w:val="28"/>
        </w:rPr>
        <w:t xml:space="preserve">chlamydia detection rate </w:t>
      </w:r>
    </w:p>
    <w:p w14:paraId="12397E22" w14:textId="77777777" w:rsidR="00DD7D30" w:rsidRPr="006E5D7B" w:rsidRDefault="00DD7D30" w:rsidP="00B777CD">
      <w:pPr>
        <w:pStyle w:val="ListParagraph"/>
        <w:numPr>
          <w:ilvl w:val="0"/>
          <w:numId w:val="8"/>
        </w:numPr>
        <w:spacing w:after="0" w:line="240" w:lineRule="auto"/>
        <w:jc w:val="both"/>
        <w:rPr>
          <w:rFonts w:ascii="Arial" w:hAnsi="Arial" w:cs="Arial"/>
          <w:sz w:val="28"/>
          <w:szCs w:val="28"/>
        </w:rPr>
      </w:pPr>
      <w:r w:rsidRPr="006E5D7B">
        <w:rPr>
          <w:rFonts w:ascii="Arial" w:hAnsi="Arial" w:cs="Arial"/>
          <w:sz w:val="28"/>
          <w:szCs w:val="28"/>
        </w:rPr>
        <w:t>new STIs diagnosis (excluding chlamydia in the under 25s)</w:t>
      </w:r>
    </w:p>
    <w:p w14:paraId="42A8ABFA" w14:textId="77777777" w:rsidR="00DD7D30" w:rsidRPr="006E5D7B" w:rsidRDefault="00DD7D30" w:rsidP="00B777CD">
      <w:pPr>
        <w:pStyle w:val="ListParagraph"/>
        <w:numPr>
          <w:ilvl w:val="0"/>
          <w:numId w:val="8"/>
        </w:numPr>
        <w:spacing w:after="0" w:line="240" w:lineRule="auto"/>
        <w:jc w:val="both"/>
        <w:rPr>
          <w:rFonts w:ascii="Arial" w:hAnsi="Arial" w:cs="Arial"/>
          <w:sz w:val="28"/>
          <w:szCs w:val="28"/>
        </w:rPr>
      </w:pPr>
      <w:r w:rsidRPr="006E5D7B">
        <w:rPr>
          <w:rFonts w:ascii="Arial" w:hAnsi="Arial" w:cs="Arial"/>
          <w:sz w:val="28"/>
          <w:szCs w:val="28"/>
        </w:rPr>
        <w:t>prescribing of long-acting reversible contraception (LARC) excluding injections (females aged 15 to 44)</w:t>
      </w:r>
    </w:p>
    <w:p w14:paraId="5BDA768D" w14:textId="77777777" w:rsidR="00DD7D30" w:rsidRDefault="00DD7D30" w:rsidP="00B777CD">
      <w:pPr>
        <w:pStyle w:val="ListParagraph"/>
        <w:numPr>
          <w:ilvl w:val="0"/>
          <w:numId w:val="8"/>
        </w:numPr>
        <w:spacing w:after="0" w:line="240" w:lineRule="auto"/>
        <w:jc w:val="both"/>
        <w:rPr>
          <w:rFonts w:ascii="Arial" w:hAnsi="Arial" w:cs="Arial"/>
          <w:sz w:val="28"/>
          <w:szCs w:val="28"/>
        </w:rPr>
      </w:pPr>
      <w:r w:rsidRPr="006E5D7B">
        <w:rPr>
          <w:rFonts w:ascii="Arial" w:hAnsi="Arial" w:cs="Arial"/>
          <w:sz w:val="28"/>
          <w:szCs w:val="28"/>
        </w:rPr>
        <w:t>people presenting with HIV at a late stage of infection.</w:t>
      </w:r>
      <w:bookmarkStart w:id="4" w:name="_Toc121996477"/>
    </w:p>
    <w:p w14:paraId="6702EC2B" w14:textId="77777777" w:rsidR="00DD7D30" w:rsidRDefault="00DD7D30" w:rsidP="00B777CD">
      <w:pPr>
        <w:pStyle w:val="ListParagraph"/>
        <w:spacing w:after="0" w:line="240" w:lineRule="auto"/>
        <w:jc w:val="both"/>
        <w:rPr>
          <w:rFonts w:ascii="Arial" w:hAnsi="Arial" w:cs="Arial"/>
          <w:sz w:val="28"/>
          <w:szCs w:val="28"/>
        </w:rPr>
      </w:pPr>
    </w:p>
    <w:p w14:paraId="762B0B81" w14:textId="77777777" w:rsidR="00DD7D30" w:rsidRDefault="00DD7D30" w:rsidP="00B777CD">
      <w:pPr>
        <w:pStyle w:val="ListParagraph"/>
        <w:spacing w:after="0" w:line="240" w:lineRule="auto"/>
        <w:jc w:val="both"/>
        <w:rPr>
          <w:rFonts w:ascii="Arial" w:hAnsi="Arial" w:cs="Arial"/>
          <w:sz w:val="28"/>
          <w:szCs w:val="28"/>
        </w:rPr>
      </w:pPr>
    </w:p>
    <w:p w14:paraId="6C65448E" w14:textId="77777777" w:rsidR="00DD7D30" w:rsidRPr="0016077A" w:rsidRDefault="00DD7D30" w:rsidP="00B777CD">
      <w:pPr>
        <w:pStyle w:val="Heading1"/>
        <w:numPr>
          <w:ilvl w:val="0"/>
          <w:numId w:val="3"/>
        </w:numPr>
        <w:tabs>
          <w:tab w:val="num" w:pos="360"/>
        </w:tabs>
        <w:ind w:left="0" w:firstLine="0"/>
        <w:jc w:val="both"/>
        <w:rPr>
          <w:sz w:val="28"/>
          <w:szCs w:val="28"/>
        </w:rPr>
      </w:pPr>
      <w:bookmarkStart w:id="5" w:name="_Toc124346932"/>
      <w:r w:rsidRPr="0016077A">
        <w:t>The Population of York</w:t>
      </w:r>
      <w:bookmarkEnd w:id="4"/>
      <w:bookmarkEnd w:id="5"/>
    </w:p>
    <w:p w14:paraId="0403DC9F" w14:textId="77777777" w:rsidR="00DD7D30" w:rsidRDefault="00DD7D30" w:rsidP="00B777CD">
      <w:pPr>
        <w:jc w:val="both"/>
      </w:pPr>
    </w:p>
    <w:p w14:paraId="23337BEE" w14:textId="77777777" w:rsidR="00DD7D30" w:rsidRDefault="00DD7D30" w:rsidP="00B777CD">
      <w:pPr>
        <w:pStyle w:val="Heading2"/>
        <w:jc w:val="both"/>
      </w:pPr>
      <w:bookmarkStart w:id="6" w:name="_Toc121996478"/>
      <w:bookmarkStart w:id="7" w:name="_Toc124346933"/>
      <w:r>
        <w:t>3.1. Population Size</w:t>
      </w:r>
      <w:bookmarkEnd w:id="6"/>
      <w:bookmarkEnd w:id="7"/>
    </w:p>
    <w:p w14:paraId="09262DD5" w14:textId="77777777" w:rsidR="00DD7D30" w:rsidRDefault="00DD7D30" w:rsidP="00B777CD">
      <w:pPr>
        <w:jc w:val="both"/>
        <w:rPr>
          <w:rFonts w:ascii="Arial" w:hAnsi="Arial" w:cs="Arial"/>
          <w:sz w:val="28"/>
          <w:szCs w:val="28"/>
        </w:rPr>
      </w:pPr>
      <w:r>
        <w:rPr>
          <w:rFonts w:ascii="Arial" w:hAnsi="Arial" w:cs="Arial"/>
          <w:sz w:val="28"/>
          <w:szCs w:val="28"/>
        </w:rPr>
        <w:t>York has 202,800 citizens as recorded by the 2021 Census. Since 2011, the population has increased by 2.4%.</w:t>
      </w:r>
      <w:r>
        <w:rPr>
          <w:rStyle w:val="FootnoteReference"/>
          <w:rFonts w:ascii="Arial" w:hAnsi="Arial" w:cs="Arial"/>
          <w:sz w:val="28"/>
          <w:szCs w:val="28"/>
        </w:rPr>
        <w:footnoteReference w:id="4"/>
      </w:r>
      <w:r>
        <w:rPr>
          <w:rFonts w:ascii="Arial" w:hAnsi="Arial" w:cs="Arial"/>
          <w:sz w:val="28"/>
          <w:szCs w:val="28"/>
        </w:rPr>
        <w:t xml:space="preserve"> </w:t>
      </w:r>
    </w:p>
    <w:p w14:paraId="18B90C17" w14:textId="77777777" w:rsidR="00DD7D30" w:rsidRDefault="00DD7D30" w:rsidP="00B777CD">
      <w:pPr>
        <w:jc w:val="both"/>
        <w:rPr>
          <w:rFonts w:ascii="Arial" w:hAnsi="Arial" w:cs="Arial"/>
          <w:sz w:val="28"/>
          <w:szCs w:val="28"/>
        </w:rPr>
      </w:pPr>
      <w:r>
        <w:rPr>
          <w:rFonts w:ascii="Arial" w:hAnsi="Arial" w:cs="Arial"/>
          <w:sz w:val="28"/>
          <w:szCs w:val="28"/>
        </w:rPr>
        <w:t xml:space="preserve">There are marginally more people who identify as females (51.9%) than males. York benefits from a diverse cross-section of age groups with similar values observed from 4 years and under to 90 years and over. The </w:t>
      </w:r>
      <w:r w:rsidRPr="009369EF">
        <w:rPr>
          <w:rFonts w:ascii="Arial" w:hAnsi="Arial" w:cs="Arial"/>
          <w:color w:val="000000" w:themeColor="text1"/>
          <w:sz w:val="28"/>
          <w:szCs w:val="28"/>
        </w:rPr>
        <w:lastRenderedPageBreak/>
        <w:t xml:space="preserve">most common age group for residents is 20-24 years (10.1%) likely down to York’s two main universities and the further education establishments of York College and </w:t>
      </w:r>
      <w:proofErr w:type="spellStart"/>
      <w:r w:rsidRPr="009369EF">
        <w:rPr>
          <w:rFonts w:ascii="Arial" w:hAnsi="Arial" w:cs="Arial"/>
          <w:color w:val="000000" w:themeColor="text1"/>
          <w:sz w:val="28"/>
          <w:szCs w:val="28"/>
        </w:rPr>
        <w:t>Askham</w:t>
      </w:r>
      <w:proofErr w:type="spellEnd"/>
      <w:r w:rsidRPr="009369EF">
        <w:rPr>
          <w:rFonts w:ascii="Arial" w:hAnsi="Arial" w:cs="Arial"/>
          <w:color w:val="000000" w:themeColor="text1"/>
          <w:sz w:val="28"/>
          <w:szCs w:val="28"/>
        </w:rPr>
        <w:t xml:space="preserve"> Bryan College. </w:t>
      </w:r>
    </w:p>
    <w:p w14:paraId="7C866FA2" w14:textId="7352EFE3" w:rsidR="00DD7D30" w:rsidRDefault="00DD7D30" w:rsidP="00B777CD">
      <w:pPr>
        <w:jc w:val="both"/>
      </w:pPr>
      <w:r>
        <w:rPr>
          <w:noProof/>
        </w:rPr>
        <w:drawing>
          <wp:inline distT="0" distB="0" distL="0" distR="0" wp14:anchorId="0A1DF67F" wp14:editId="3A8624A1">
            <wp:extent cx="4271010" cy="3619500"/>
            <wp:effectExtent l="0" t="0" r="15240" b="0"/>
            <wp:docPr id="4" name="Chart 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77E9A5" w14:textId="2D27725C" w:rsidR="00DD7D30" w:rsidRDefault="00DD7D30" w:rsidP="00B777CD">
      <w:pPr>
        <w:pStyle w:val="Caption"/>
        <w:jc w:val="both"/>
        <w:rPr>
          <w:rFonts w:ascii="Arial" w:hAnsi="Arial" w:cs="Arial"/>
          <w:sz w:val="28"/>
          <w:szCs w:val="28"/>
        </w:rPr>
      </w:pPr>
      <w:r>
        <w:t xml:space="preserve">Figure </w:t>
      </w:r>
      <w:fldSimple w:instr=" SEQ Figure \* ARABIC ">
        <w:r w:rsidR="00A401A2">
          <w:rPr>
            <w:noProof/>
          </w:rPr>
          <w:t>1</w:t>
        </w:r>
      </w:fldSimple>
      <w:r>
        <w:t>: Population pyramid of York v. England</w:t>
      </w:r>
    </w:p>
    <w:p w14:paraId="224B4213" w14:textId="77777777" w:rsidR="00DD7D30" w:rsidRDefault="00DD7D30" w:rsidP="00B777CD">
      <w:pPr>
        <w:jc w:val="both"/>
        <w:rPr>
          <w:rFonts w:ascii="Arial" w:hAnsi="Arial" w:cs="Arial"/>
          <w:sz w:val="28"/>
          <w:szCs w:val="28"/>
        </w:rPr>
      </w:pPr>
      <w:r>
        <w:rPr>
          <w:rFonts w:ascii="Arial" w:hAnsi="Arial" w:cs="Arial"/>
          <w:sz w:val="28"/>
          <w:szCs w:val="28"/>
        </w:rPr>
        <w:t>Figure one above indicates that a significantly larger proportion of people aged late teens and early 20s reside in York than the England average:</w:t>
      </w:r>
    </w:p>
    <w:p w14:paraId="3C32924B" w14:textId="77777777" w:rsidR="00DD7D30" w:rsidRDefault="00DD7D30" w:rsidP="00B777CD">
      <w:pPr>
        <w:pStyle w:val="ListParagraph"/>
        <w:numPr>
          <w:ilvl w:val="0"/>
          <w:numId w:val="9"/>
        </w:numPr>
        <w:jc w:val="both"/>
        <w:rPr>
          <w:rFonts w:ascii="Arial" w:hAnsi="Arial" w:cs="Arial"/>
          <w:sz w:val="28"/>
          <w:szCs w:val="28"/>
        </w:rPr>
      </w:pPr>
      <w:r>
        <w:rPr>
          <w:rFonts w:ascii="Arial" w:hAnsi="Arial" w:cs="Arial"/>
          <w:sz w:val="28"/>
          <w:szCs w:val="28"/>
        </w:rPr>
        <w:t>7.5% of York’s population are 15 to 19 years old</w:t>
      </w:r>
    </w:p>
    <w:p w14:paraId="7B231458" w14:textId="77777777" w:rsidR="00DD7D30" w:rsidRDefault="00DD7D30" w:rsidP="00B777CD">
      <w:pPr>
        <w:pStyle w:val="ListParagraph"/>
        <w:numPr>
          <w:ilvl w:val="0"/>
          <w:numId w:val="9"/>
        </w:numPr>
        <w:jc w:val="both"/>
        <w:rPr>
          <w:rFonts w:ascii="Arial" w:hAnsi="Arial" w:cs="Arial"/>
          <w:sz w:val="28"/>
          <w:szCs w:val="28"/>
        </w:rPr>
      </w:pPr>
      <w:r>
        <w:rPr>
          <w:rFonts w:ascii="Arial" w:hAnsi="Arial" w:cs="Arial"/>
          <w:sz w:val="28"/>
          <w:szCs w:val="28"/>
        </w:rPr>
        <w:t>10.1% of York’s population are 20-24 years old</w:t>
      </w:r>
    </w:p>
    <w:p w14:paraId="0BD070A7" w14:textId="77777777" w:rsidR="00DD7D30" w:rsidRPr="001D3921" w:rsidRDefault="00DD7D30" w:rsidP="00B777CD">
      <w:pPr>
        <w:pStyle w:val="ListParagraph"/>
        <w:numPr>
          <w:ilvl w:val="0"/>
          <w:numId w:val="9"/>
        </w:numPr>
        <w:jc w:val="both"/>
        <w:rPr>
          <w:rFonts w:ascii="Arial" w:hAnsi="Arial" w:cs="Arial"/>
          <w:sz w:val="28"/>
          <w:szCs w:val="28"/>
        </w:rPr>
      </w:pPr>
      <w:r>
        <w:rPr>
          <w:rFonts w:ascii="Arial" w:hAnsi="Arial" w:cs="Arial"/>
          <w:sz w:val="28"/>
          <w:szCs w:val="28"/>
        </w:rPr>
        <w:t>6.41% of York’s population are 25-29 years old</w:t>
      </w:r>
    </w:p>
    <w:p w14:paraId="567E73BC" w14:textId="77777777" w:rsidR="00DD7D30" w:rsidRDefault="00DD7D30" w:rsidP="00B777CD">
      <w:pPr>
        <w:jc w:val="both"/>
        <w:rPr>
          <w:rFonts w:ascii="Arial" w:hAnsi="Arial" w:cs="Arial"/>
          <w:sz w:val="28"/>
          <w:szCs w:val="28"/>
        </w:rPr>
      </w:pPr>
      <w:r>
        <w:rPr>
          <w:rFonts w:ascii="Arial" w:hAnsi="Arial" w:cs="Arial"/>
          <w:sz w:val="28"/>
          <w:szCs w:val="28"/>
        </w:rPr>
        <w:t xml:space="preserve">Fishergate, Guildhall, and Hull Road wards are resident to </w:t>
      </w:r>
      <w:proofErr w:type="gramStart"/>
      <w:r>
        <w:rPr>
          <w:rFonts w:ascii="Arial" w:hAnsi="Arial" w:cs="Arial"/>
          <w:sz w:val="28"/>
          <w:szCs w:val="28"/>
        </w:rPr>
        <w:t>the majority of</w:t>
      </w:r>
      <w:proofErr w:type="gramEnd"/>
      <w:r>
        <w:rPr>
          <w:rFonts w:ascii="Arial" w:hAnsi="Arial" w:cs="Arial"/>
          <w:sz w:val="28"/>
          <w:szCs w:val="28"/>
        </w:rPr>
        <w:t xml:space="preserve"> people aged 16-24 years, likely due to proximity and access to educational establishments and good transport links. Further details can be found in the ward profiles.</w:t>
      </w:r>
      <w:r>
        <w:rPr>
          <w:rStyle w:val="FootnoteReference"/>
          <w:rFonts w:ascii="Arial" w:hAnsi="Arial" w:cs="Arial"/>
          <w:sz w:val="28"/>
          <w:szCs w:val="28"/>
        </w:rPr>
        <w:footnoteReference w:id="5"/>
      </w:r>
    </w:p>
    <w:p w14:paraId="4C2ACE8F" w14:textId="77777777" w:rsidR="00DD7D30" w:rsidRDefault="00DD7D30" w:rsidP="00B777CD">
      <w:pPr>
        <w:jc w:val="both"/>
        <w:rPr>
          <w:rFonts w:ascii="Arial" w:hAnsi="Arial" w:cs="Arial"/>
          <w:sz w:val="28"/>
          <w:szCs w:val="28"/>
        </w:rPr>
      </w:pPr>
    </w:p>
    <w:p w14:paraId="214326EF" w14:textId="77777777" w:rsidR="00DD7D30" w:rsidRDefault="00DD7D30" w:rsidP="00B777CD">
      <w:pPr>
        <w:pStyle w:val="Heading2"/>
        <w:jc w:val="both"/>
      </w:pPr>
      <w:bookmarkStart w:id="8" w:name="_Toc121996479"/>
      <w:bookmarkStart w:id="9" w:name="_Toc124346934"/>
      <w:r>
        <w:t>3.2. Sexual Orientation</w:t>
      </w:r>
      <w:bookmarkEnd w:id="8"/>
      <w:bookmarkEnd w:id="9"/>
    </w:p>
    <w:p w14:paraId="41C46E97" w14:textId="1299B55F" w:rsidR="00E07A3E" w:rsidRDefault="00E07A3E" w:rsidP="00B777CD">
      <w:pPr>
        <w:jc w:val="both"/>
        <w:rPr>
          <w:rFonts w:ascii="Arial" w:hAnsi="Arial" w:cs="Arial"/>
          <w:sz w:val="28"/>
          <w:szCs w:val="28"/>
        </w:rPr>
      </w:pPr>
      <w:r>
        <w:rPr>
          <w:rFonts w:ascii="Arial" w:hAnsi="Arial" w:cs="Arial"/>
          <w:sz w:val="28"/>
          <w:szCs w:val="28"/>
        </w:rPr>
        <w:t xml:space="preserve">In 2020, an ONS statistical bulletin on sexual orientation was published that estimated that 93.6% of the UK population aged 16 years and over identified as heterosexual or straight. An estimated 3.1% identified as lesbian, </w:t>
      </w:r>
      <w:proofErr w:type="gramStart"/>
      <w:r>
        <w:rPr>
          <w:rFonts w:ascii="Arial" w:hAnsi="Arial" w:cs="Arial"/>
          <w:sz w:val="28"/>
          <w:szCs w:val="28"/>
        </w:rPr>
        <w:t>gay</w:t>
      </w:r>
      <w:proofErr w:type="gramEnd"/>
      <w:r>
        <w:rPr>
          <w:rFonts w:ascii="Arial" w:hAnsi="Arial" w:cs="Arial"/>
          <w:sz w:val="28"/>
          <w:szCs w:val="28"/>
        </w:rPr>
        <w:t xml:space="preserve"> or bisexual (LGB), an increase from 2.7% in 2019. The </w:t>
      </w:r>
      <w:r>
        <w:rPr>
          <w:rFonts w:ascii="Arial" w:hAnsi="Arial" w:cs="Arial"/>
          <w:sz w:val="28"/>
          <w:szCs w:val="28"/>
        </w:rPr>
        <w:lastRenderedPageBreak/>
        <w:t>proportion of men identifying as LGB increased from 1.9% in 2014 to 3.4% in 2020. Over the same period, women identifying as LGB increased from 1.4% to 2.8%.</w:t>
      </w:r>
      <w:r>
        <w:rPr>
          <w:rStyle w:val="FootnoteReference"/>
          <w:rFonts w:ascii="Arial" w:hAnsi="Arial" w:cs="Arial"/>
          <w:sz w:val="28"/>
          <w:szCs w:val="28"/>
        </w:rPr>
        <w:footnoteReference w:id="6"/>
      </w:r>
      <w:r>
        <w:rPr>
          <w:rFonts w:ascii="Arial" w:hAnsi="Arial" w:cs="Arial"/>
          <w:sz w:val="28"/>
          <w:szCs w:val="28"/>
        </w:rPr>
        <w:t xml:space="preserve"> This would translate to approximately 10,794 LGB people living in York. </w:t>
      </w:r>
    </w:p>
    <w:p w14:paraId="43587135" w14:textId="292D120B" w:rsidR="00692C80" w:rsidRDefault="00E07A3E" w:rsidP="00B777CD">
      <w:pPr>
        <w:jc w:val="both"/>
        <w:rPr>
          <w:rFonts w:ascii="Arial" w:hAnsi="Arial" w:cs="Arial"/>
          <w:sz w:val="28"/>
          <w:szCs w:val="28"/>
        </w:rPr>
      </w:pPr>
      <w:r>
        <w:rPr>
          <w:rFonts w:ascii="Arial" w:hAnsi="Arial" w:cs="Arial"/>
          <w:sz w:val="28"/>
          <w:szCs w:val="28"/>
        </w:rPr>
        <w:t>Dat</w:t>
      </w:r>
      <w:r w:rsidR="00712BB4">
        <w:rPr>
          <w:rFonts w:ascii="Arial" w:hAnsi="Arial" w:cs="Arial"/>
          <w:sz w:val="28"/>
          <w:szCs w:val="28"/>
        </w:rPr>
        <w:t>a</w:t>
      </w:r>
      <w:r>
        <w:rPr>
          <w:rFonts w:ascii="Arial" w:hAnsi="Arial" w:cs="Arial"/>
          <w:sz w:val="28"/>
          <w:szCs w:val="28"/>
        </w:rPr>
        <w:t xml:space="preserve"> from the Census 2021 was released in early January 2023. </w:t>
      </w:r>
      <w:r w:rsidR="008E6E94">
        <w:rPr>
          <w:rFonts w:ascii="Arial" w:hAnsi="Arial" w:cs="Arial"/>
          <w:sz w:val="28"/>
          <w:szCs w:val="28"/>
        </w:rPr>
        <w:t>89.37% of the national population stated they were straight or hom</w:t>
      </w:r>
      <w:r>
        <w:rPr>
          <w:rFonts w:ascii="Arial" w:hAnsi="Arial" w:cs="Arial"/>
          <w:sz w:val="28"/>
          <w:szCs w:val="28"/>
        </w:rPr>
        <w:t>o</w:t>
      </w:r>
      <w:r w:rsidR="008E6E94">
        <w:rPr>
          <w:rFonts w:ascii="Arial" w:hAnsi="Arial" w:cs="Arial"/>
          <w:sz w:val="28"/>
          <w:szCs w:val="28"/>
        </w:rPr>
        <w:t>sexual.</w:t>
      </w:r>
      <w:r>
        <w:rPr>
          <w:rStyle w:val="FootnoteReference"/>
          <w:rFonts w:ascii="Arial" w:hAnsi="Arial" w:cs="Arial"/>
          <w:sz w:val="28"/>
          <w:szCs w:val="28"/>
        </w:rPr>
        <w:footnoteReference w:id="7"/>
      </w:r>
      <w:r w:rsidR="008E6E94">
        <w:rPr>
          <w:rFonts w:ascii="Arial" w:hAnsi="Arial" w:cs="Arial"/>
          <w:sz w:val="28"/>
          <w:szCs w:val="28"/>
        </w:rPr>
        <w:t xml:space="preserve"> </w:t>
      </w:r>
      <w:r>
        <w:rPr>
          <w:rFonts w:ascii="Arial" w:hAnsi="Arial" w:cs="Arial"/>
          <w:sz w:val="28"/>
          <w:szCs w:val="28"/>
        </w:rPr>
        <w:t xml:space="preserve">Of the York population, </w:t>
      </w:r>
      <w:r w:rsidR="00692C80">
        <w:rPr>
          <w:rFonts w:ascii="Arial" w:hAnsi="Arial" w:cs="Arial"/>
          <w:sz w:val="28"/>
          <w:szCs w:val="28"/>
        </w:rPr>
        <w:t>86.5%</w:t>
      </w:r>
      <w:r>
        <w:rPr>
          <w:rFonts w:ascii="Arial" w:hAnsi="Arial" w:cs="Arial"/>
          <w:sz w:val="28"/>
          <w:szCs w:val="28"/>
        </w:rPr>
        <w:t xml:space="preserve"> (n = </w:t>
      </w:r>
      <w:r w:rsidR="00416EE5">
        <w:rPr>
          <w:rFonts w:ascii="Arial" w:hAnsi="Arial" w:cs="Arial"/>
          <w:sz w:val="28"/>
          <w:szCs w:val="28"/>
        </w:rPr>
        <w:t xml:space="preserve">148,921) of people aged 16 years and </w:t>
      </w:r>
      <w:proofErr w:type="gramStart"/>
      <w:r w:rsidR="00416EE5">
        <w:rPr>
          <w:rFonts w:ascii="Arial" w:hAnsi="Arial" w:cs="Arial"/>
          <w:sz w:val="28"/>
          <w:szCs w:val="28"/>
        </w:rPr>
        <w:t xml:space="preserve">over </w:t>
      </w:r>
      <w:r w:rsidR="00692C80">
        <w:rPr>
          <w:rFonts w:ascii="Arial" w:hAnsi="Arial" w:cs="Arial"/>
          <w:sz w:val="28"/>
          <w:szCs w:val="28"/>
        </w:rPr>
        <w:t>stated</w:t>
      </w:r>
      <w:proofErr w:type="gramEnd"/>
      <w:r w:rsidR="00692C80">
        <w:rPr>
          <w:rFonts w:ascii="Arial" w:hAnsi="Arial" w:cs="Arial"/>
          <w:sz w:val="28"/>
          <w:szCs w:val="28"/>
        </w:rPr>
        <w:t xml:space="preserve"> they identified as either straight or heterosexual. </w:t>
      </w:r>
      <w:r w:rsidR="00416EE5">
        <w:rPr>
          <w:rFonts w:ascii="Arial" w:hAnsi="Arial" w:cs="Arial"/>
          <w:sz w:val="28"/>
          <w:szCs w:val="28"/>
        </w:rPr>
        <w:t xml:space="preserve">2.04% (n = 3,507) identified as gay or lesbian; 2.85% (n = 4,904) as bisexual, and a remaining 0.66% (n = 1,143) as pansexual, asexual, queer, and other respectively. 7.91% (n = 13,610) did not disclose their sexuality. </w:t>
      </w:r>
    </w:p>
    <w:p w14:paraId="5548B4C6" w14:textId="614BE173" w:rsidR="00915B26" w:rsidRDefault="00915B26" w:rsidP="00B777CD">
      <w:pPr>
        <w:jc w:val="both"/>
        <w:rPr>
          <w:rFonts w:ascii="Arial" w:hAnsi="Arial" w:cs="Arial"/>
          <w:sz w:val="28"/>
          <w:szCs w:val="28"/>
        </w:rPr>
      </w:pPr>
    </w:p>
    <w:p w14:paraId="3714EA98" w14:textId="316DFB68" w:rsidR="00915B26" w:rsidRDefault="00915B26" w:rsidP="00B777CD">
      <w:pPr>
        <w:pStyle w:val="Heading3"/>
        <w:jc w:val="both"/>
      </w:pPr>
      <w:bookmarkStart w:id="10" w:name="_Toc124346935"/>
      <w:r>
        <w:t>3.3. Gender Identity</w:t>
      </w:r>
      <w:bookmarkEnd w:id="10"/>
    </w:p>
    <w:p w14:paraId="6EADA621" w14:textId="70040EBD" w:rsidR="00915B26" w:rsidRDefault="00915B26" w:rsidP="00B777CD">
      <w:pPr>
        <w:jc w:val="both"/>
        <w:rPr>
          <w:rFonts w:ascii="Arial" w:hAnsi="Arial" w:cs="Arial"/>
          <w:sz w:val="28"/>
          <w:szCs w:val="28"/>
        </w:rPr>
      </w:pPr>
      <w:r>
        <w:rPr>
          <w:rFonts w:ascii="Arial" w:hAnsi="Arial" w:cs="Arial"/>
          <w:sz w:val="28"/>
          <w:szCs w:val="28"/>
        </w:rPr>
        <w:t xml:space="preserve">In the </w:t>
      </w:r>
      <w:r w:rsidR="00D26EF8">
        <w:rPr>
          <w:rFonts w:ascii="Arial" w:hAnsi="Arial" w:cs="Arial"/>
          <w:sz w:val="28"/>
          <w:szCs w:val="28"/>
        </w:rPr>
        <w:t xml:space="preserve">Census 2021, </w:t>
      </w:r>
      <w:r>
        <w:rPr>
          <w:rFonts w:ascii="Arial" w:hAnsi="Arial" w:cs="Arial"/>
          <w:sz w:val="28"/>
          <w:szCs w:val="28"/>
        </w:rPr>
        <w:t>93.41% (n =</w:t>
      </w:r>
      <w:r w:rsidR="00D26EF8">
        <w:rPr>
          <w:rFonts w:ascii="Arial" w:hAnsi="Arial" w:cs="Arial"/>
          <w:sz w:val="28"/>
          <w:szCs w:val="28"/>
        </w:rPr>
        <w:t xml:space="preserve"> 161,735</w:t>
      </w:r>
      <w:r>
        <w:rPr>
          <w:rFonts w:ascii="Arial" w:hAnsi="Arial" w:cs="Arial"/>
          <w:sz w:val="28"/>
          <w:szCs w:val="28"/>
        </w:rPr>
        <w:t xml:space="preserve">) of York residents </w:t>
      </w:r>
      <w:r w:rsidR="00D26EF8">
        <w:rPr>
          <w:rFonts w:ascii="Arial" w:hAnsi="Arial" w:cs="Arial"/>
          <w:sz w:val="28"/>
          <w:szCs w:val="28"/>
        </w:rPr>
        <w:t xml:space="preserve">aged 16 years and </w:t>
      </w:r>
      <w:proofErr w:type="gramStart"/>
      <w:r w:rsidR="00D26EF8">
        <w:rPr>
          <w:rFonts w:ascii="Arial" w:hAnsi="Arial" w:cs="Arial"/>
          <w:sz w:val="28"/>
          <w:szCs w:val="28"/>
        </w:rPr>
        <w:t>over stated</w:t>
      </w:r>
      <w:proofErr w:type="gramEnd"/>
      <w:r w:rsidR="00D26EF8">
        <w:rPr>
          <w:rFonts w:ascii="Arial" w:hAnsi="Arial" w:cs="Arial"/>
          <w:sz w:val="28"/>
          <w:szCs w:val="28"/>
        </w:rPr>
        <w:t xml:space="preserve"> their gender identity was the same as their sex registered at birth.</w:t>
      </w:r>
      <w:r w:rsidR="00D26EF8">
        <w:rPr>
          <w:rStyle w:val="FootnoteReference"/>
          <w:rFonts w:ascii="Arial" w:hAnsi="Arial" w:cs="Arial"/>
          <w:sz w:val="28"/>
          <w:szCs w:val="28"/>
        </w:rPr>
        <w:footnoteReference w:id="8"/>
      </w:r>
      <w:r w:rsidR="00D26EF8">
        <w:rPr>
          <w:rFonts w:ascii="Arial" w:hAnsi="Arial" w:cs="Arial"/>
          <w:sz w:val="28"/>
          <w:szCs w:val="28"/>
        </w:rPr>
        <w:t xml:space="preserve"> 0.18% (n = 318) stated they were non-binary; 0.20% (n = 341) identified as either a trans man or trans woman, and 0.09% (n = 161) described themselves as another gender identity. 0.14% (n = 242) stated their gender identity was different from their sex registered at birth but gave no specific identity. 5.98% (n = 10,286) did not give an answer.</w:t>
      </w:r>
    </w:p>
    <w:p w14:paraId="38F3CDFB" w14:textId="77777777" w:rsidR="00D26EF8" w:rsidRDefault="00D26EF8" w:rsidP="00B777CD">
      <w:pPr>
        <w:jc w:val="both"/>
        <w:rPr>
          <w:rFonts w:ascii="Arial" w:hAnsi="Arial" w:cs="Arial"/>
          <w:sz w:val="28"/>
          <w:szCs w:val="28"/>
        </w:rPr>
      </w:pPr>
    </w:p>
    <w:p w14:paraId="039ED949" w14:textId="071C7880" w:rsidR="00DD7D30" w:rsidRDefault="00DD7D30" w:rsidP="00B777CD">
      <w:pPr>
        <w:pStyle w:val="Heading3"/>
        <w:jc w:val="both"/>
      </w:pPr>
      <w:bookmarkStart w:id="11" w:name="_Toc121996480"/>
      <w:bookmarkStart w:id="12" w:name="_Toc124346936"/>
      <w:r>
        <w:t>3.</w:t>
      </w:r>
      <w:r w:rsidR="00915B26">
        <w:t>4</w:t>
      </w:r>
      <w:r>
        <w:t>. Ethnicity</w:t>
      </w:r>
      <w:bookmarkEnd w:id="11"/>
      <w:bookmarkEnd w:id="12"/>
    </w:p>
    <w:p w14:paraId="000289A2" w14:textId="77777777" w:rsidR="00DD7D30" w:rsidRDefault="00DD7D30" w:rsidP="00B777CD">
      <w:pPr>
        <w:jc w:val="both"/>
        <w:rPr>
          <w:rFonts w:ascii="Arial" w:hAnsi="Arial" w:cs="Arial"/>
          <w:sz w:val="28"/>
          <w:szCs w:val="28"/>
        </w:rPr>
      </w:pPr>
      <w:r>
        <w:rPr>
          <w:rFonts w:ascii="Arial" w:hAnsi="Arial" w:cs="Arial"/>
          <w:sz w:val="28"/>
          <w:szCs w:val="28"/>
        </w:rPr>
        <w:t>87.3% (n = 176,963) of York residents describe themselves as “White: English, Welsh, Scottish, Northern Irish or British in the 2021 Census. This is a 6.7% decrease since data from the previous sexual health needs assessment. People who identify as Other White make up the largest ethnic cohort at n = 9297 (4.6%). The largest single ethnic minority cohort is Chinese with 2,889 people (1.4%) identifying as this cohort.</w:t>
      </w:r>
      <w:r>
        <w:rPr>
          <w:rStyle w:val="FootnoteReference"/>
          <w:rFonts w:ascii="Arial" w:hAnsi="Arial" w:cs="Arial"/>
          <w:sz w:val="28"/>
          <w:szCs w:val="28"/>
        </w:rPr>
        <w:footnoteReference w:id="9"/>
      </w:r>
      <w:r>
        <w:rPr>
          <w:rFonts w:ascii="Arial" w:hAnsi="Arial" w:cs="Arial"/>
          <w:sz w:val="28"/>
          <w:szCs w:val="28"/>
        </w:rPr>
        <w:t xml:space="preserve"> </w:t>
      </w:r>
    </w:p>
    <w:p w14:paraId="7C66C398" w14:textId="77777777" w:rsidR="00DD7D30" w:rsidRDefault="00DD7D30" w:rsidP="00B777CD">
      <w:pPr>
        <w:jc w:val="both"/>
        <w:rPr>
          <w:rFonts w:ascii="Arial" w:hAnsi="Arial" w:cs="Arial"/>
          <w:sz w:val="28"/>
          <w:szCs w:val="28"/>
        </w:rPr>
      </w:pPr>
    </w:p>
    <w:p w14:paraId="0D6AA3D2" w14:textId="55EDDD29" w:rsidR="00DD7D30" w:rsidRDefault="00DD7D30" w:rsidP="00B777CD">
      <w:pPr>
        <w:pStyle w:val="Heading3"/>
        <w:jc w:val="both"/>
      </w:pPr>
      <w:bookmarkStart w:id="13" w:name="_Toc121996481"/>
      <w:bookmarkStart w:id="14" w:name="_Toc124346937"/>
      <w:r>
        <w:lastRenderedPageBreak/>
        <w:t>3.</w:t>
      </w:r>
      <w:r w:rsidR="00915B26">
        <w:t>5</w:t>
      </w:r>
      <w:r>
        <w:t>. Disability</w:t>
      </w:r>
      <w:bookmarkEnd w:id="13"/>
      <w:bookmarkEnd w:id="14"/>
    </w:p>
    <w:p w14:paraId="4F1B6B75" w14:textId="77777777" w:rsidR="00DD7D30" w:rsidRDefault="00DD7D30" w:rsidP="00B777CD">
      <w:pPr>
        <w:jc w:val="both"/>
        <w:rPr>
          <w:rFonts w:ascii="Arial" w:hAnsi="Arial" w:cs="Arial"/>
          <w:sz w:val="28"/>
          <w:szCs w:val="28"/>
        </w:rPr>
      </w:pPr>
      <w:r w:rsidRPr="005E07CF">
        <w:rPr>
          <w:rFonts w:ascii="Arial" w:hAnsi="Arial" w:cs="Arial"/>
          <w:sz w:val="28"/>
          <w:szCs w:val="28"/>
        </w:rPr>
        <w:t>Across all of York, 15.3% of residents are recorded as having ‘limiting long term illness or disability</w:t>
      </w:r>
      <w:r>
        <w:rPr>
          <w:rFonts w:ascii="Arial" w:hAnsi="Arial" w:cs="Arial"/>
          <w:sz w:val="28"/>
          <w:szCs w:val="28"/>
        </w:rPr>
        <w:t>’</w:t>
      </w:r>
      <w:r>
        <w:rPr>
          <w:rStyle w:val="FootnoteReference"/>
          <w:rFonts w:ascii="Arial" w:hAnsi="Arial" w:cs="Arial"/>
          <w:sz w:val="28"/>
          <w:szCs w:val="28"/>
        </w:rPr>
        <w:footnoteReference w:id="10"/>
      </w:r>
      <w:r w:rsidRPr="005E07CF">
        <w:rPr>
          <w:rFonts w:ascii="Arial" w:hAnsi="Arial" w:cs="Arial"/>
          <w:sz w:val="28"/>
          <w:szCs w:val="28"/>
        </w:rPr>
        <w:t xml:space="preserve"> which impacts on their daily lives.</w:t>
      </w:r>
    </w:p>
    <w:p w14:paraId="69F63BDF" w14:textId="77777777" w:rsidR="00DD7D30" w:rsidRPr="005E07CF" w:rsidRDefault="00DD7D30" w:rsidP="00B777CD">
      <w:pPr>
        <w:jc w:val="both"/>
        <w:rPr>
          <w:rFonts w:ascii="Arial" w:hAnsi="Arial" w:cs="Arial"/>
          <w:sz w:val="28"/>
          <w:szCs w:val="28"/>
        </w:rPr>
      </w:pPr>
    </w:p>
    <w:p w14:paraId="2663C815" w14:textId="3A72402D" w:rsidR="00DD7D30" w:rsidRDefault="00DD7D30" w:rsidP="00B777CD">
      <w:pPr>
        <w:pStyle w:val="Heading3"/>
        <w:jc w:val="both"/>
      </w:pPr>
      <w:bookmarkStart w:id="15" w:name="_Toc121996482"/>
      <w:bookmarkStart w:id="16" w:name="_Toc124346938"/>
      <w:r>
        <w:t>3.</w:t>
      </w:r>
      <w:r w:rsidR="00915B26">
        <w:t>6</w:t>
      </w:r>
      <w:r>
        <w:t>. Population age</w:t>
      </w:r>
      <w:bookmarkEnd w:id="15"/>
      <w:bookmarkEnd w:id="16"/>
    </w:p>
    <w:p w14:paraId="5CFFA0F3" w14:textId="77777777" w:rsidR="00DD7D30" w:rsidRDefault="00DD7D30" w:rsidP="00B777CD">
      <w:pPr>
        <w:jc w:val="both"/>
        <w:rPr>
          <w:rFonts w:ascii="Arial" w:hAnsi="Arial" w:cs="Arial"/>
          <w:sz w:val="28"/>
          <w:szCs w:val="28"/>
        </w:rPr>
      </w:pPr>
      <w:r w:rsidRPr="009E150E">
        <w:rPr>
          <w:rFonts w:ascii="Arial" w:hAnsi="Arial" w:cs="Arial"/>
          <w:sz w:val="28"/>
          <w:szCs w:val="28"/>
        </w:rPr>
        <w:t>Age is particularly important in this needs assessment because young people, particularly those aged 16-24 years old have a higher need for sexual health services.</w:t>
      </w:r>
    </w:p>
    <w:p w14:paraId="55CE6384" w14:textId="77777777" w:rsidR="00DD7D30" w:rsidRPr="009E150E" w:rsidRDefault="00DD7D30" w:rsidP="00B777CD">
      <w:pPr>
        <w:jc w:val="both"/>
        <w:rPr>
          <w:rFonts w:ascii="Arial" w:hAnsi="Arial" w:cs="Arial"/>
          <w:sz w:val="28"/>
          <w:szCs w:val="28"/>
        </w:rPr>
      </w:pPr>
    </w:p>
    <w:p w14:paraId="69CCA59A" w14:textId="54E4D00F" w:rsidR="00DD7D30" w:rsidRDefault="00DD7D30" w:rsidP="00B777CD">
      <w:pPr>
        <w:pStyle w:val="Heading3"/>
        <w:jc w:val="both"/>
      </w:pPr>
      <w:bookmarkStart w:id="17" w:name="_Toc121996483"/>
      <w:bookmarkStart w:id="18" w:name="_Toc124346939"/>
      <w:r>
        <w:t>3.</w:t>
      </w:r>
      <w:r w:rsidR="00915B26">
        <w:t>7</w:t>
      </w:r>
      <w:r>
        <w:t>. Relative Deprivation</w:t>
      </w:r>
      <w:bookmarkEnd w:id="17"/>
      <w:bookmarkEnd w:id="18"/>
    </w:p>
    <w:p w14:paraId="6AF9FF4D" w14:textId="1821F1B9" w:rsidR="00DD7D30" w:rsidRDefault="00DD7D30" w:rsidP="00B777CD">
      <w:pPr>
        <w:jc w:val="both"/>
        <w:rPr>
          <w:rFonts w:ascii="Arial" w:hAnsi="Arial" w:cs="Arial"/>
          <w:sz w:val="28"/>
          <w:szCs w:val="28"/>
        </w:rPr>
      </w:pPr>
      <w:r>
        <w:rPr>
          <w:rFonts w:ascii="Arial" w:hAnsi="Arial" w:cs="Arial"/>
          <w:sz w:val="28"/>
          <w:szCs w:val="28"/>
        </w:rPr>
        <w:t>A 2021 report published by the former Public Health England (PHE), now Office of Health Improvements and Disparities (OHID), explored the variation in outcomes of sexual and reproductive health in England. It was recognised that STI incidence rates were consistently higher in more deprived populations which was particularly true of young people.</w:t>
      </w:r>
      <w:r>
        <w:rPr>
          <w:rStyle w:val="FootnoteReference"/>
          <w:rFonts w:ascii="Arial" w:hAnsi="Arial" w:cs="Arial"/>
          <w:sz w:val="28"/>
          <w:szCs w:val="28"/>
        </w:rPr>
        <w:footnoteReference w:id="11"/>
      </w:r>
    </w:p>
    <w:p w14:paraId="694314F4" w14:textId="77777777" w:rsidR="00E07A3E" w:rsidRDefault="00E07A3E" w:rsidP="00B777CD">
      <w:pPr>
        <w:jc w:val="both"/>
        <w:rPr>
          <w:rFonts w:ascii="Arial" w:hAnsi="Arial" w:cs="Arial"/>
          <w:sz w:val="28"/>
          <w:szCs w:val="28"/>
        </w:rPr>
      </w:pPr>
    </w:p>
    <w:p w14:paraId="13C41E91" w14:textId="74C033B0" w:rsidR="00DD7D30" w:rsidRDefault="00DD7D30" w:rsidP="00B777CD">
      <w:pPr>
        <w:pStyle w:val="Heading3"/>
        <w:jc w:val="both"/>
      </w:pPr>
      <w:bookmarkStart w:id="19" w:name="_Toc121996484"/>
      <w:bookmarkStart w:id="20" w:name="_Toc124346940"/>
      <w:r>
        <w:t>3.</w:t>
      </w:r>
      <w:r w:rsidR="00915B26">
        <w:t>8</w:t>
      </w:r>
      <w:r>
        <w:t>. Fertility rate</w:t>
      </w:r>
      <w:bookmarkEnd w:id="19"/>
      <w:bookmarkEnd w:id="20"/>
    </w:p>
    <w:p w14:paraId="65D5623C" w14:textId="24A27BC8" w:rsidR="00DD7D30" w:rsidRDefault="00DD7D30" w:rsidP="00B777CD">
      <w:pPr>
        <w:jc w:val="both"/>
        <w:rPr>
          <w:rFonts w:ascii="Arial" w:hAnsi="Arial" w:cs="Arial"/>
          <w:sz w:val="28"/>
          <w:szCs w:val="28"/>
        </w:rPr>
      </w:pPr>
      <w:r w:rsidRPr="005E07CF">
        <w:rPr>
          <w:rFonts w:ascii="Arial" w:hAnsi="Arial" w:cs="Arial"/>
          <w:sz w:val="28"/>
          <w:szCs w:val="28"/>
        </w:rPr>
        <w:t xml:space="preserve">York’s </w:t>
      </w:r>
      <w:r>
        <w:rPr>
          <w:rFonts w:ascii="Arial" w:hAnsi="Arial" w:cs="Arial"/>
          <w:sz w:val="28"/>
          <w:szCs w:val="28"/>
        </w:rPr>
        <w:t xml:space="preserve">general </w:t>
      </w:r>
      <w:r w:rsidRPr="005E07CF">
        <w:rPr>
          <w:rFonts w:ascii="Arial" w:hAnsi="Arial" w:cs="Arial"/>
          <w:sz w:val="28"/>
          <w:szCs w:val="28"/>
        </w:rPr>
        <w:t>fertility rate</w:t>
      </w:r>
      <w:r>
        <w:rPr>
          <w:rFonts w:ascii="Arial" w:hAnsi="Arial" w:cs="Arial"/>
          <w:sz w:val="28"/>
          <w:szCs w:val="28"/>
        </w:rPr>
        <w:t xml:space="preserve">, five-year pooled data from 2016-2020) </w:t>
      </w:r>
      <w:r w:rsidRPr="005E07CF">
        <w:rPr>
          <w:rFonts w:ascii="Arial" w:hAnsi="Arial" w:cs="Arial"/>
          <w:sz w:val="28"/>
          <w:szCs w:val="28"/>
        </w:rPr>
        <w:t xml:space="preserve">was </w:t>
      </w:r>
      <w:r>
        <w:rPr>
          <w:rFonts w:ascii="Arial" w:hAnsi="Arial" w:cs="Arial"/>
          <w:sz w:val="28"/>
          <w:szCs w:val="28"/>
        </w:rPr>
        <w:t>39.7</w:t>
      </w:r>
      <w:r w:rsidRPr="005E07CF">
        <w:rPr>
          <w:rFonts w:ascii="Arial" w:hAnsi="Arial" w:cs="Arial"/>
          <w:sz w:val="28"/>
          <w:szCs w:val="28"/>
        </w:rPr>
        <w:t xml:space="preserve"> live births per 1,000 women aged 15 to 44 (England </w:t>
      </w:r>
      <w:r>
        <w:rPr>
          <w:rFonts w:ascii="Arial" w:hAnsi="Arial" w:cs="Arial"/>
          <w:sz w:val="28"/>
          <w:szCs w:val="28"/>
        </w:rPr>
        <w:t>59.2</w:t>
      </w:r>
      <w:r w:rsidRPr="005E07CF">
        <w:rPr>
          <w:rFonts w:ascii="Arial" w:hAnsi="Arial" w:cs="Arial"/>
          <w:sz w:val="28"/>
          <w:szCs w:val="28"/>
        </w:rPr>
        <w:t xml:space="preserve">/1,000). This </w:t>
      </w:r>
      <w:r>
        <w:rPr>
          <w:rFonts w:ascii="Arial" w:hAnsi="Arial" w:cs="Arial"/>
          <w:sz w:val="28"/>
          <w:szCs w:val="28"/>
        </w:rPr>
        <w:t>amounts to approximately 1800</w:t>
      </w:r>
      <w:r w:rsidRPr="005E07CF">
        <w:rPr>
          <w:rFonts w:ascii="Arial" w:hAnsi="Arial" w:cs="Arial"/>
          <w:sz w:val="28"/>
          <w:szCs w:val="28"/>
        </w:rPr>
        <w:t xml:space="preserve"> live births in York</w:t>
      </w:r>
      <w:r>
        <w:rPr>
          <w:rFonts w:ascii="Arial" w:hAnsi="Arial" w:cs="Arial"/>
          <w:sz w:val="28"/>
          <w:szCs w:val="28"/>
        </w:rPr>
        <w:t xml:space="preserve"> on any given year</w:t>
      </w:r>
      <w:r w:rsidRPr="005E07CF">
        <w:rPr>
          <w:rFonts w:ascii="Arial" w:hAnsi="Arial" w:cs="Arial"/>
          <w:sz w:val="28"/>
          <w:szCs w:val="28"/>
        </w:rPr>
        <w:t>.</w:t>
      </w:r>
      <w:r>
        <w:rPr>
          <w:rStyle w:val="FootnoteReference"/>
          <w:rFonts w:ascii="Arial" w:hAnsi="Arial" w:cs="Arial"/>
          <w:sz w:val="28"/>
          <w:szCs w:val="28"/>
        </w:rPr>
        <w:footnoteReference w:id="12"/>
      </w:r>
      <w:r w:rsidRPr="005E07CF">
        <w:rPr>
          <w:rFonts w:ascii="Arial" w:hAnsi="Arial" w:cs="Arial"/>
          <w:sz w:val="28"/>
          <w:szCs w:val="28"/>
        </w:rPr>
        <w:t xml:space="preserve"> This is important to consider when planning contraception and sexual health services</w:t>
      </w:r>
      <w:r w:rsidR="0087770E">
        <w:rPr>
          <w:rFonts w:ascii="Arial" w:hAnsi="Arial" w:cs="Arial"/>
          <w:sz w:val="28"/>
          <w:szCs w:val="28"/>
        </w:rPr>
        <w:t>.</w:t>
      </w:r>
    </w:p>
    <w:p w14:paraId="46269587" w14:textId="77777777" w:rsidR="00DD7D30" w:rsidRPr="005E07CF" w:rsidRDefault="00DD7D30" w:rsidP="00B777CD">
      <w:pPr>
        <w:jc w:val="both"/>
        <w:rPr>
          <w:rFonts w:ascii="Arial" w:hAnsi="Arial" w:cs="Arial"/>
          <w:sz w:val="28"/>
          <w:szCs w:val="28"/>
        </w:rPr>
      </w:pPr>
    </w:p>
    <w:p w14:paraId="51432DF0" w14:textId="6B5502AC" w:rsidR="00DD7D30" w:rsidRDefault="00DD7D30" w:rsidP="00B777CD">
      <w:pPr>
        <w:pStyle w:val="Heading3"/>
        <w:jc w:val="both"/>
      </w:pPr>
      <w:bookmarkStart w:id="21" w:name="_Toc121996485"/>
      <w:bookmarkStart w:id="22" w:name="_Toc124346941"/>
      <w:r>
        <w:t>3.</w:t>
      </w:r>
      <w:r w:rsidR="00915B26">
        <w:t>9</w:t>
      </w:r>
      <w:r>
        <w:t>. Further reading about the population of York</w:t>
      </w:r>
      <w:bookmarkEnd w:id="21"/>
      <w:bookmarkEnd w:id="22"/>
    </w:p>
    <w:p w14:paraId="19463E7C" w14:textId="77777777" w:rsidR="00DD7D30" w:rsidRPr="00BA129A" w:rsidRDefault="00DD7D30" w:rsidP="00B777CD">
      <w:pPr>
        <w:pStyle w:val="ListParagraph"/>
        <w:numPr>
          <w:ilvl w:val="0"/>
          <w:numId w:val="10"/>
        </w:numPr>
        <w:jc w:val="both"/>
        <w:rPr>
          <w:rFonts w:ascii="Arial" w:hAnsi="Arial" w:cs="Arial"/>
          <w:sz w:val="28"/>
          <w:szCs w:val="28"/>
        </w:rPr>
      </w:pPr>
      <w:r w:rsidRPr="009E150E">
        <w:rPr>
          <w:rFonts w:ascii="Arial" w:hAnsi="Arial" w:cs="Arial"/>
          <w:sz w:val="28"/>
          <w:szCs w:val="28"/>
        </w:rPr>
        <w:t>York Joint Strategic Needs Assessment</w:t>
      </w:r>
      <w:r>
        <w:rPr>
          <w:rFonts w:ascii="Arial" w:hAnsi="Arial" w:cs="Arial"/>
          <w:sz w:val="28"/>
          <w:szCs w:val="28"/>
        </w:rPr>
        <w:t xml:space="preserve"> </w:t>
      </w:r>
      <w:hyperlink r:id="rId10" w:history="1">
        <w:r w:rsidRPr="00BA129A">
          <w:rPr>
            <w:rStyle w:val="Hyperlink"/>
            <w:rFonts w:ascii="Arial" w:hAnsi="Arial" w:cs="Arial"/>
            <w:sz w:val="28"/>
            <w:szCs w:val="28"/>
          </w:rPr>
          <w:t>https://www.healthyork.org/</w:t>
        </w:r>
      </w:hyperlink>
    </w:p>
    <w:p w14:paraId="36D7DCE9" w14:textId="77777777" w:rsidR="00DD7D30" w:rsidRDefault="00DD7D30" w:rsidP="00B777CD">
      <w:pPr>
        <w:pStyle w:val="ListParagraph"/>
        <w:numPr>
          <w:ilvl w:val="0"/>
          <w:numId w:val="10"/>
        </w:numPr>
        <w:jc w:val="both"/>
        <w:rPr>
          <w:rFonts w:ascii="Arial" w:hAnsi="Arial" w:cs="Arial"/>
          <w:sz w:val="28"/>
          <w:szCs w:val="28"/>
        </w:rPr>
      </w:pPr>
      <w:r w:rsidRPr="009E150E">
        <w:rPr>
          <w:rFonts w:ascii="Arial" w:hAnsi="Arial" w:cs="Arial"/>
          <w:sz w:val="28"/>
          <w:szCs w:val="28"/>
        </w:rPr>
        <w:t xml:space="preserve">York Open Data </w:t>
      </w:r>
      <w:hyperlink r:id="rId11" w:history="1">
        <w:r w:rsidRPr="00B71931">
          <w:rPr>
            <w:rStyle w:val="Hyperlink"/>
            <w:rFonts w:ascii="Arial" w:hAnsi="Arial" w:cs="Arial"/>
            <w:sz w:val="28"/>
            <w:szCs w:val="28"/>
          </w:rPr>
          <w:t>https://www.yorkopendata.org</w:t>
        </w:r>
      </w:hyperlink>
    </w:p>
    <w:p w14:paraId="1242A386" w14:textId="77777777" w:rsidR="00DD7D30" w:rsidRDefault="00DD7D30" w:rsidP="00B777CD">
      <w:pPr>
        <w:pStyle w:val="ListParagraph"/>
        <w:jc w:val="both"/>
        <w:rPr>
          <w:rFonts w:ascii="Arial" w:hAnsi="Arial" w:cs="Arial"/>
          <w:sz w:val="28"/>
          <w:szCs w:val="28"/>
        </w:rPr>
      </w:pPr>
    </w:p>
    <w:p w14:paraId="21880D18" w14:textId="77777777" w:rsidR="00DD7D30" w:rsidRPr="009E150E" w:rsidRDefault="00DD7D30" w:rsidP="00B777CD">
      <w:pPr>
        <w:pStyle w:val="ListParagraph"/>
        <w:ind w:left="0"/>
        <w:jc w:val="both"/>
        <w:rPr>
          <w:rFonts w:ascii="Arial" w:hAnsi="Arial" w:cs="Arial"/>
          <w:i/>
          <w:iCs/>
          <w:sz w:val="28"/>
          <w:szCs w:val="28"/>
        </w:rPr>
      </w:pPr>
      <w:r w:rsidRPr="009E150E">
        <w:rPr>
          <w:rFonts w:ascii="Arial" w:hAnsi="Arial" w:cs="Arial"/>
          <w:i/>
          <w:iCs/>
          <w:sz w:val="28"/>
          <w:szCs w:val="28"/>
        </w:rPr>
        <w:t>Pharmaceutical Needs Assessment (2022)</w:t>
      </w:r>
    </w:p>
    <w:p w14:paraId="7B6B1B25" w14:textId="77777777" w:rsidR="00DD7D30" w:rsidRPr="009E150E" w:rsidRDefault="00DD7D30" w:rsidP="00B777CD">
      <w:pPr>
        <w:pStyle w:val="ListParagraph"/>
        <w:ind w:left="0"/>
        <w:jc w:val="both"/>
        <w:rPr>
          <w:rFonts w:ascii="Arial" w:hAnsi="Arial" w:cs="Arial"/>
          <w:sz w:val="28"/>
          <w:szCs w:val="28"/>
        </w:rPr>
      </w:pPr>
    </w:p>
    <w:p w14:paraId="56FD5AF1" w14:textId="2E7A9AAC" w:rsidR="00DD7D30" w:rsidRDefault="00DD7D30" w:rsidP="00B777CD">
      <w:pPr>
        <w:pStyle w:val="ListParagraph"/>
        <w:ind w:left="0"/>
        <w:jc w:val="both"/>
        <w:rPr>
          <w:rFonts w:ascii="Arial" w:hAnsi="Arial" w:cs="Arial"/>
          <w:sz w:val="28"/>
          <w:szCs w:val="28"/>
        </w:rPr>
      </w:pPr>
      <w:r w:rsidRPr="009E150E">
        <w:rPr>
          <w:rFonts w:ascii="Arial" w:hAnsi="Arial" w:cs="Arial"/>
          <w:sz w:val="28"/>
          <w:szCs w:val="28"/>
        </w:rPr>
        <w:t>This needs assessment considered the population need for community pharmacy services 20</w:t>
      </w:r>
      <w:r>
        <w:rPr>
          <w:rFonts w:ascii="Arial" w:hAnsi="Arial" w:cs="Arial"/>
          <w:sz w:val="28"/>
          <w:szCs w:val="28"/>
        </w:rPr>
        <w:t>22</w:t>
      </w:r>
      <w:r w:rsidRPr="009E150E">
        <w:rPr>
          <w:rFonts w:ascii="Arial" w:hAnsi="Arial" w:cs="Arial"/>
          <w:sz w:val="28"/>
          <w:szCs w:val="28"/>
        </w:rPr>
        <w:t>–202</w:t>
      </w:r>
      <w:r>
        <w:rPr>
          <w:rFonts w:ascii="Arial" w:hAnsi="Arial" w:cs="Arial"/>
          <w:sz w:val="28"/>
          <w:szCs w:val="28"/>
        </w:rPr>
        <w:t>5</w:t>
      </w:r>
      <w:r w:rsidRPr="009E150E">
        <w:rPr>
          <w:rFonts w:ascii="Arial" w:hAnsi="Arial" w:cs="Arial"/>
          <w:sz w:val="28"/>
          <w:szCs w:val="28"/>
        </w:rPr>
        <w:t xml:space="preserve">. </w:t>
      </w:r>
      <w:r>
        <w:rPr>
          <w:rFonts w:ascii="Arial" w:hAnsi="Arial" w:cs="Arial"/>
          <w:sz w:val="28"/>
          <w:szCs w:val="28"/>
        </w:rPr>
        <w:t xml:space="preserve">21% of residents reported in the assessment’s residents survey that they would find it useful if their local pharmacy offered NHS screening services, including HIV. None of the </w:t>
      </w:r>
      <w:r>
        <w:rPr>
          <w:rFonts w:ascii="Arial" w:hAnsi="Arial" w:cs="Arial"/>
          <w:sz w:val="28"/>
          <w:szCs w:val="28"/>
        </w:rPr>
        <w:lastRenderedPageBreak/>
        <w:t xml:space="preserve">responding pharmacies stated they were delivering a chlamydia testing service. Two pharmacies stated that a sexual health/chlamydia testing and treatment </w:t>
      </w:r>
      <w:r w:rsidR="009A1712">
        <w:rPr>
          <w:rFonts w:ascii="Arial" w:hAnsi="Arial" w:cs="Arial"/>
          <w:sz w:val="28"/>
          <w:szCs w:val="28"/>
        </w:rPr>
        <w:t>locally commissioned</w:t>
      </w:r>
      <w:r>
        <w:rPr>
          <w:rFonts w:ascii="Arial" w:hAnsi="Arial" w:cs="Arial"/>
          <w:sz w:val="28"/>
          <w:szCs w:val="28"/>
        </w:rPr>
        <w:t xml:space="preserve"> service was required in York.</w:t>
      </w:r>
      <w:r>
        <w:rPr>
          <w:rStyle w:val="FootnoteReference"/>
          <w:rFonts w:ascii="Arial" w:hAnsi="Arial" w:cs="Arial"/>
          <w:sz w:val="28"/>
          <w:szCs w:val="28"/>
        </w:rPr>
        <w:footnoteReference w:id="13"/>
      </w:r>
    </w:p>
    <w:p w14:paraId="5096BD2C" w14:textId="77777777" w:rsidR="00DD7D30" w:rsidRDefault="00DD7D30" w:rsidP="00B777CD">
      <w:pPr>
        <w:pStyle w:val="ListParagraph"/>
        <w:ind w:left="0"/>
        <w:jc w:val="both"/>
        <w:rPr>
          <w:rFonts w:ascii="Arial" w:hAnsi="Arial" w:cs="Arial"/>
          <w:sz w:val="28"/>
          <w:szCs w:val="28"/>
        </w:rPr>
      </w:pPr>
      <w:r>
        <w:rPr>
          <w:rFonts w:ascii="Arial" w:hAnsi="Arial" w:cs="Arial"/>
          <w:sz w:val="28"/>
          <w:szCs w:val="28"/>
        </w:rPr>
        <w:t>Pharmacies were also recommended to support the following services to decrease the number of teenage pregnancies in York:</w:t>
      </w:r>
    </w:p>
    <w:p w14:paraId="41E410DC" w14:textId="77777777" w:rsidR="00DD7D30" w:rsidRDefault="00DD7D30" w:rsidP="00B777CD">
      <w:pPr>
        <w:pStyle w:val="ListParagraph"/>
        <w:ind w:left="0"/>
        <w:jc w:val="both"/>
        <w:rPr>
          <w:rFonts w:ascii="Arial" w:hAnsi="Arial" w:cs="Arial"/>
          <w:sz w:val="28"/>
          <w:szCs w:val="28"/>
        </w:rPr>
      </w:pPr>
    </w:p>
    <w:p w14:paraId="65679386" w14:textId="77777777" w:rsidR="00DD7D30" w:rsidRDefault="00DD7D30" w:rsidP="00B777CD">
      <w:pPr>
        <w:pStyle w:val="ListParagraph"/>
        <w:numPr>
          <w:ilvl w:val="0"/>
          <w:numId w:val="11"/>
        </w:numPr>
        <w:jc w:val="both"/>
        <w:rPr>
          <w:rFonts w:ascii="Arial" w:hAnsi="Arial" w:cs="Arial"/>
          <w:sz w:val="28"/>
          <w:szCs w:val="28"/>
        </w:rPr>
      </w:pPr>
      <w:r>
        <w:rPr>
          <w:rFonts w:ascii="Arial" w:hAnsi="Arial" w:cs="Arial"/>
          <w:sz w:val="28"/>
          <w:szCs w:val="28"/>
        </w:rPr>
        <w:t>C-card scheme (access to free condoms and lube)</w:t>
      </w:r>
    </w:p>
    <w:p w14:paraId="51936015" w14:textId="77777777" w:rsidR="00DD7D30" w:rsidRDefault="00DD7D30" w:rsidP="00B777CD">
      <w:pPr>
        <w:pStyle w:val="ListParagraph"/>
        <w:numPr>
          <w:ilvl w:val="0"/>
          <w:numId w:val="11"/>
        </w:numPr>
        <w:jc w:val="both"/>
        <w:rPr>
          <w:rFonts w:ascii="Arial" w:hAnsi="Arial" w:cs="Arial"/>
          <w:sz w:val="28"/>
          <w:szCs w:val="28"/>
        </w:rPr>
      </w:pPr>
      <w:r>
        <w:rPr>
          <w:rFonts w:ascii="Arial" w:hAnsi="Arial" w:cs="Arial"/>
          <w:sz w:val="28"/>
          <w:szCs w:val="28"/>
        </w:rPr>
        <w:t>Emergency hormonal contraception</w:t>
      </w:r>
    </w:p>
    <w:p w14:paraId="1DD9EEC1" w14:textId="77777777" w:rsidR="00DD7D30" w:rsidRDefault="00DD7D30" w:rsidP="00B777CD">
      <w:pPr>
        <w:pStyle w:val="ListParagraph"/>
        <w:numPr>
          <w:ilvl w:val="0"/>
          <w:numId w:val="11"/>
        </w:numPr>
        <w:jc w:val="both"/>
        <w:rPr>
          <w:rFonts w:ascii="Arial" w:hAnsi="Arial" w:cs="Arial"/>
          <w:sz w:val="28"/>
          <w:szCs w:val="28"/>
        </w:rPr>
      </w:pPr>
      <w:r>
        <w:rPr>
          <w:rFonts w:ascii="Arial" w:hAnsi="Arial" w:cs="Arial"/>
          <w:sz w:val="28"/>
          <w:szCs w:val="28"/>
        </w:rPr>
        <w:t>Pregnancy testing</w:t>
      </w:r>
    </w:p>
    <w:p w14:paraId="4CA935E2" w14:textId="77777777" w:rsidR="00DD7D30" w:rsidRDefault="00DD7D30" w:rsidP="00B777CD">
      <w:pPr>
        <w:pStyle w:val="ListParagraph"/>
        <w:numPr>
          <w:ilvl w:val="0"/>
          <w:numId w:val="11"/>
        </w:numPr>
        <w:jc w:val="both"/>
        <w:rPr>
          <w:rFonts w:ascii="Arial" w:hAnsi="Arial" w:cs="Arial"/>
          <w:sz w:val="28"/>
          <w:szCs w:val="28"/>
        </w:rPr>
      </w:pPr>
      <w:r>
        <w:rPr>
          <w:rFonts w:ascii="Arial" w:hAnsi="Arial" w:cs="Arial"/>
          <w:sz w:val="28"/>
          <w:szCs w:val="28"/>
        </w:rPr>
        <w:t xml:space="preserve">Referral on for further contraception services </w:t>
      </w:r>
    </w:p>
    <w:p w14:paraId="1284FBCA" w14:textId="77777777" w:rsidR="00DD7D30" w:rsidRPr="001A0327" w:rsidRDefault="00DD7D30" w:rsidP="00B777CD">
      <w:pPr>
        <w:jc w:val="both"/>
        <w:rPr>
          <w:rFonts w:ascii="Arial" w:hAnsi="Arial" w:cs="Arial"/>
          <w:sz w:val="28"/>
          <w:szCs w:val="28"/>
        </w:rPr>
      </w:pPr>
      <w:r>
        <w:rPr>
          <w:rFonts w:ascii="Arial" w:hAnsi="Arial" w:cs="Arial"/>
          <w:sz w:val="28"/>
          <w:szCs w:val="28"/>
        </w:rPr>
        <w:t xml:space="preserve">Free emergency hormonal contraception is available through general practice or specialist sexual health services in York without appointment. </w:t>
      </w:r>
    </w:p>
    <w:p w14:paraId="12BC4250" w14:textId="77777777" w:rsidR="00DD7D30" w:rsidRPr="00CC1F5A" w:rsidRDefault="00DD7D30" w:rsidP="00B777CD">
      <w:pPr>
        <w:pStyle w:val="ListParagraph"/>
        <w:ind w:left="0"/>
        <w:jc w:val="both"/>
        <w:rPr>
          <w:rFonts w:ascii="Arial" w:hAnsi="Arial" w:cs="Arial"/>
          <w:sz w:val="28"/>
          <w:szCs w:val="28"/>
        </w:rPr>
      </w:pPr>
    </w:p>
    <w:p w14:paraId="5B48A6F1" w14:textId="77777777" w:rsidR="00DD7D30" w:rsidRPr="00CC1F5A" w:rsidRDefault="00DD7D30" w:rsidP="00B777CD">
      <w:pPr>
        <w:pStyle w:val="ListParagraph"/>
        <w:ind w:left="0"/>
        <w:jc w:val="both"/>
        <w:rPr>
          <w:rFonts w:ascii="Arial" w:hAnsi="Arial" w:cs="Arial"/>
          <w:i/>
          <w:iCs/>
          <w:sz w:val="28"/>
          <w:szCs w:val="28"/>
        </w:rPr>
      </w:pPr>
      <w:r w:rsidRPr="00CC1F5A">
        <w:rPr>
          <w:rFonts w:ascii="Arial" w:hAnsi="Arial" w:cs="Arial"/>
          <w:i/>
          <w:iCs/>
          <w:sz w:val="28"/>
          <w:szCs w:val="28"/>
        </w:rPr>
        <w:t xml:space="preserve">Homelessness health needs assessment (2018) </w:t>
      </w:r>
    </w:p>
    <w:p w14:paraId="0D394804" w14:textId="77777777" w:rsidR="00DD7D30" w:rsidRPr="00CC1F5A" w:rsidRDefault="00DD7D30" w:rsidP="00B777CD">
      <w:pPr>
        <w:pStyle w:val="ListParagraph"/>
        <w:ind w:left="0"/>
        <w:jc w:val="both"/>
        <w:rPr>
          <w:rFonts w:ascii="Arial" w:hAnsi="Arial" w:cs="Arial"/>
          <w:sz w:val="28"/>
          <w:szCs w:val="28"/>
        </w:rPr>
      </w:pPr>
    </w:p>
    <w:p w14:paraId="698C7A79" w14:textId="77777777" w:rsidR="00DD7D30" w:rsidRDefault="00DD7D30" w:rsidP="00B777CD">
      <w:pPr>
        <w:pStyle w:val="ListParagraph"/>
        <w:ind w:left="0"/>
        <w:jc w:val="both"/>
        <w:rPr>
          <w:rFonts w:ascii="Arial" w:hAnsi="Arial" w:cs="Arial"/>
          <w:sz w:val="28"/>
          <w:szCs w:val="28"/>
        </w:rPr>
      </w:pPr>
      <w:r w:rsidRPr="00CC1F5A">
        <w:rPr>
          <w:rFonts w:ascii="Arial" w:hAnsi="Arial" w:cs="Arial"/>
          <w:sz w:val="28"/>
          <w:szCs w:val="28"/>
        </w:rPr>
        <w:t>The 2018 needs assessment considered the health and wellbeing of people in York who were sleeping rough, sofa surfing, in temporary or insecure accommodation. It found that people generally had good awareness of sexual health services in York, the majority knew where to access free condoms and sexual health advice. Additionally</w:t>
      </w:r>
      <w:r>
        <w:rPr>
          <w:rFonts w:ascii="Arial" w:hAnsi="Arial" w:cs="Arial"/>
          <w:sz w:val="28"/>
          <w:szCs w:val="28"/>
        </w:rPr>
        <w:t>,</w:t>
      </w:r>
      <w:r w:rsidRPr="00CC1F5A">
        <w:rPr>
          <w:rFonts w:ascii="Arial" w:hAnsi="Arial" w:cs="Arial"/>
          <w:sz w:val="28"/>
          <w:szCs w:val="28"/>
        </w:rPr>
        <w:t xml:space="preserve"> the majority were registered with a GP.</w:t>
      </w:r>
    </w:p>
    <w:p w14:paraId="4D435690" w14:textId="77777777" w:rsidR="00DD7D30" w:rsidRPr="00CC1F5A" w:rsidRDefault="00DD7D30" w:rsidP="00B777CD">
      <w:pPr>
        <w:pStyle w:val="ListParagraph"/>
        <w:ind w:left="0"/>
        <w:jc w:val="both"/>
        <w:rPr>
          <w:rFonts w:ascii="Arial" w:hAnsi="Arial" w:cs="Arial"/>
          <w:sz w:val="28"/>
          <w:szCs w:val="28"/>
        </w:rPr>
      </w:pPr>
    </w:p>
    <w:p w14:paraId="2B5CADA7" w14:textId="77777777" w:rsidR="00DD7D30" w:rsidRPr="009E150E" w:rsidRDefault="00DD7D30" w:rsidP="00B777CD">
      <w:pPr>
        <w:jc w:val="both"/>
        <w:rPr>
          <w:rFonts w:ascii="Arial" w:hAnsi="Arial" w:cs="Arial"/>
          <w:i/>
          <w:iCs/>
          <w:sz w:val="28"/>
          <w:szCs w:val="28"/>
        </w:rPr>
      </w:pPr>
      <w:r w:rsidRPr="009E150E">
        <w:rPr>
          <w:rFonts w:ascii="Arial" w:hAnsi="Arial" w:cs="Arial"/>
          <w:i/>
          <w:iCs/>
          <w:sz w:val="28"/>
          <w:szCs w:val="28"/>
        </w:rPr>
        <w:t xml:space="preserve">Student Health Needs Assessment (2017) </w:t>
      </w:r>
    </w:p>
    <w:p w14:paraId="1D7EA341" w14:textId="77777777" w:rsidR="00DD7D30" w:rsidRPr="009E150E" w:rsidRDefault="00DD7D30" w:rsidP="00B777CD">
      <w:pPr>
        <w:jc w:val="both"/>
        <w:rPr>
          <w:rFonts w:ascii="Arial" w:hAnsi="Arial" w:cs="Arial"/>
          <w:sz w:val="28"/>
          <w:szCs w:val="28"/>
        </w:rPr>
      </w:pPr>
      <w:r w:rsidRPr="009E150E">
        <w:rPr>
          <w:rFonts w:ascii="Arial" w:hAnsi="Arial" w:cs="Arial"/>
          <w:sz w:val="28"/>
          <w:szCs w:val="28"/>
        </w:rPr>
        <w:t>This needs assessment consider</w:t>
      </w:r>
      <w:r>
        <w:rPr>
          <w:rFonts w:ascii="Arial" w:hAnsi="Arial" w:cs="Arial"/>
          <w:sz w:val="28"/>
          <w:szCs w:val="28"/>
        </w:rPr>
        <w:t>ed</w:t>
      </w:r>
      <w:r w:rsidRPr="009E150E">
        <w:rPr>
          <w:rFonts w:ascii="Arial" w:hAnsi="Arial" w:cs="Arial"/>
          <w:sz w:val="28"/>
          <w:szCs w:val="28"/>
        </w:rPr>
        <w:t xml:space="preserve"> the health and wellbeing of students studying at the universities and colleges in York. Generally, students had a good level of awareness of local sexual health services, including where to go for advice and contraception. However, there were some concerns among staff and students about the emotional aspects of sexual relationships.</w:t>
      </w:r>
    </w:p>
    <w:p w14:paraId="1E49C850" w14:textId="77777777" w:rsidR="00DD7D30" w:rsidRDefault="00DD7D30" w:rsidP="00B777CD">
      <w:pPr>
        <w:jc w:val="both"/>
        <w:rPr>
          <w:rFonts w:ascii="Arial" w:hAnsi="Arial" w:cs="Arial"/>
          <w:sz w:val="28"/>
          <w:szCs w:val="28"/>
        </w:rPr>
      </w:pPr>
    </w:p>
    <w:p w14:paraId="0F96546C" w14:textId="77777777" w:rsidR="00DD7D30" w:rsidRPr="005B08C7" w:rsidRDefault="00DD7D30" w:rsidP="00B777CD">
      <w:pPr>
        <w:pStyle w:val="Heading1"/>
        <w:jc w:val="both"/>
      </w:pPr>
      <w:bookmarkStart w:id="23" w:name="_Toc121996486"/>
      <w:bookmarkStart w:id="24" w:name="_Toc124346942"/>
      <w:r>
        <w:t xml:space="preserve">4. </w:t>
      </w:r>
      <w:r w:rsidRPr="005B08C7">
        <w:t>Sexual health needs in York</w:t>
      </w:r>
      <w:bookmarkEnd w:id="23"/>
      <w:bookmarkEnd w:id="24"/>
    </w:p>
    <w:p w14:paraId="15315EEC" w14:textId="4C993DB6" w:rsidR="00DD7D30" w:rsidRDefault="00DD7D30" w:rsidP="00B777CD">
      <w:pPr>
        <w:pStyle w:val="Heading3"/>
        <w:jc w:val="both"/>
      </w:pPr>
      <w:bookmarkStart w:id="25" w:name="_Toc121996487"/>
      <w:bookmarkStart w:id="26" w:name="_Toc124346943"/>
      <w:r>
        <w:t>4.1. Age</w:t>
      </w:r>
      <w:bookmarkEnd w:id="25"/>
      <w:r>
        <w:t xml:space="preserve"> and gender</w:t>
      </w:r>
      <w:bookmarkEnd w:id="26"/>
    </w:p>
    <w:p w14:paraId="2DE144B0" w14:textId="77777777" w:rsidR="00DD7D30" w:rsidRPr="00DD7D30" w:rsidRDefault="00DD7D30" w:rsidP="00B777CD">
      <w:pPr>
        <w:jc w:val="both"/>
      </w:pPr>
    </w:p>
    <w:p w14:paraId="4FC9BAD2" w14:textId="4F3F39A2" w:rsidR="00DD7D30" w:rsidRDefault="00DD7D30" w:rsidP="00B777CD">
      <w:pPr>
        <w:jc w:val="both"/>
      </w:pPr>
      <w:r>
        <w:rPr>
          <w:noProof/>
        </w:rPr>
        <w:lastRenderedPageBreak/>
        <w:drawing>
          <wp:inline distT="0" distB="0" distL="0" distR="0" wp14:anchorId="13093964" wp14:editId="63EB767C">
            <wp:extent cx="4975860" cy="3150870"/>
            <wp:effectExtent l="0" t="0" r="15240" b="11430"/>
            <wp:docPr id="1" name="Chart 1">
              <a:extLst xmlns:a="http://schemas.openxmlformats.org/drawingml/2006/main">
                <a:ext uri="{FF2B5EF4-FFF2-40B4-BE49-F238E27FC236}">
                  <a16:creationId xmlns:a16="http://schemas.microsoft.com/office/drawing/2014/main" id="{1DBFF789-F999-423E-B307-877590694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8769D" w14:textId="24D84A8E" w:rsidR="00DD7D30" w:rsidRDefault="00DD7D30" w:rsidP="00B777CD">
      <w:pPr>
        <w:pStyle w:val="Caption"/>
        <w:jc w:val="both"/>
      </w:pPr>
      <w:r>
        <w:t xml:space="preserve">Figure </w:t>
      </w:r>
      <w:fldSimple w:instr=" SEQ Figure \* ARABIC ">
        <w:r w:rsidR="00A401A2">
          <w:rPr>
            <w:noProof/>
          </w:rPr>
          <w:t>2</w:t>
        </w:r>
      </w:fldSimple>
      <w:r>
        <w:t>: Population Pyramid stratifying STI diagnoses by age and gender 2018-2022</w:t>
      </w:r>
    </w:p>
    <w:p w14:paraId="68DB513B" w14:textId="77777777" w:rsidR="00DD7D30" w:rsidRDefault="00DD7D30" w:rsidP="00B777CD">
      <w:pPr>
        <w:jc w:val="both"/>
        <w:rPr>
          <w:rFonts w:ascii="Arial" w:hAnsi="Arial" w:cs="Arial"/>
          <w:sz w:val="28"/>
          <w:szCs w:val="28"/>
        </w:rPr>
      </w:pPr>
      <w:r>
        <w:rPr>
          <w:rFonts w:ascii="Arial" w:hAnsi="Arial" w:cs="Arial"/>
          <w:sz w:val="28"/>
          <w:szCs w:val="28"/>
        </w:rPr>
        <w:t>Age and gender are important considerations in sexual health. Nationally and in York, sexually active young people are more likely to be diagnosed with an STI than other age groups:</w:t>
      </w:r>
    </w:p>
    <w:p w14:paraId="40C8295D" w14:textId="77777777" w:rsidR="00DD7D30" w:rsidRDefault="00DD7D30" w:rsidP="00B777CD">
      <w:pPr>
        <w:pStyle w:val="ListParagraph"/>
        <w:numPr>
          <w:ilvl w:val="0"/>
          <w:numId w:val="13"/>
        </w:numPr>
        <w:jc w:val="both"/>
        <w:rPr>
          <w:rFonts w:ascii="Arial" w:hAnsi="Arial" w:cs="Arial"/>
          <w:sz w:val="28"/>
          <w:szCs w:val="28"/>
        </w:rPr>
      </w:pPr>
      <w:r>
        <w:rPr>
          <w:rFonts w:ascii="Arial" w:hAnsi="Arial" w:cs="Arial"/>
          <w:sz w:val="28"/>
          <w:szCs w:val="28"/>
        </w:rPr>
        <w:t>20-24 years account for 10% of the York population but 42% of STI diagnoses made</w:t>
      </w:r>
    </w:p>
    <w:p w14:paraId="59E7A1F6" w14:textId="77777777" w:rsidR="00DD7D30" w:rsidRDefault="00DD7D30" w:rsidP="00B777CD">
      <w:pPr>
        <w:pStyle w:val="ListParagraph"/>
        <w:jc w:val="both"/>
        <w:rPr>
          <w:rFonts w:ascii="Arial" w:hAnsi="Arial" w:cs="Arial"/>
          <w:sz w:val="28"/>
          <w:szCs w:val="28"/>
        </w:rPr>
      </w:pPr>
    </w:p>
    <w:p w14:paraId="263D37A8" w14:textId="77777777" w:rsidR="00DD7D30" w:rsidRDefault="00DD7D30" w:rsidP="00B777CD">
      <w:pPr>
        <w:pStyle w:val="ListParagraph"/>
        <w:numPr>
          <w:ilvl w:val="0"/>
          <w:numId w:val="13"/>
        </w:numPr>
        <w:jc w:val="both"/>
        <w:rPr>
          <w:rFonts w:ascii="Arial" w:hAnsi="Arial" w:cs="Arial"/>
          <w:sz w:val="28"/>
          <w:szCs w:val="28"/>
        </w:rPr>
      </w:pPr>
      <w:r>
        <w:rPr>
          <w:rFonts w:ascii="Arial" w:hAnsi="Arial" w:cs="Arial"/>
          <w:sz w:val="28"/>
          <w:szCs w:val="28"/>
        </w:rPr>
        <w:t>15-19 years account for 7.5% of the York population but 22% of STI diagnoses made</w:t>
      </w:r>
    </w:p>
    <w:p w14:paraId="158CE0FB" w14:textId="77777777" w:rsidR="00DD7D30" w:rsidRPr="0023567C" w:rsidRDefault="00DD7D30" w:rsidP="00B777CD">
      <w:pPr>
        <w:pStyle w:val="ListParagraph"/>
        <w:jc w:val="both"/>
        <w:rPr>
          <w:rFonts w:ascii="Arial" w:hAnsi="Arial" w:cs="Arial"/>
          <w:sz w:val="28"/>
          <w:szCs w:val="28"/>
        </w:rPr>
      </w:pPr>
    </w:p>
    <w:p w14:paraId="589FB275" w14:textId="77777777" w:rsidR="00DD7D30" w:rsidRDefault="00DD7D30" w:rsidP="00B777CD">
      <w:pPr>
        <w:pStyle w:val="ListParagraph"/>
        <w:numPr>
          <w:ilvl w:val="0"/>
          <w:numId w:val="13"/>
        </w:numPr>
        <w:jc w:val="both"/>
        <w:rPr>
          <w:rFonts w:ascii="Arial" w:hAnsi="Arial" w:cs="Arial"/>
          <w:sz w:val="28"/>
          <w:szCs w:val="28"/>
        </w:rPr>
      </w:pPr>
      <w:r>
        <w:rPr>
          <w:rFonts w:ascii="Arial" w:hAnsi="Arial" w:cs="Arial"/>
          <w:sz w:val="28"/>
          <w:szCs w:val="28"/>
        </w:rPr>
        <w:t>It is very uncommon for young people under 15 years in York to have STIs. In the preceding five years, only two diagnoses were made</w:t>
      </w:r>
      <w:r>
        <w:rPr>
          <w:rStyle w:val="FootnoteReference"/>
          <w:rFonts w:ascii="Arial" w:hAnsi="Arial" w:cs="Arial"/>
          <w:sz w:val="28"/>
          <w:szCs w:val="28"/>
        </w:rPr>
        <w:footnoteReference w:id="14"/>
      </w:r>
    </w:p>
    <w:p w14:paraId="018E11F7" w14:textId="77777777" w:rsidR="00DD7D30" w:rsidRPr="002D201A" w:rsidRDefault="00DD7D30" w:rsidP="00B777CD">
      <w:pPr>
        <w:ind w:left="360"/>
        <w:jc w:val="both"/>
        <w:rPr>
          <w:rFonts w:ascii="Arial" w:hAnsi="Arial" w:cs="Arial"/>
          <w:sz w:val="28"/>
          <w:szCs w:val="28"/>
        </w:rPr>
      </w:pPr>
    </w:p>
    <w:p w14:paraId="4253F3F1" w14:textId="77777777" w:rsidR="00DD7D30" w:rsidRPr="0007093C" w:rsidRDefault="00DD7D30" w:rsidP="00B777CD">
      <w:pPr>
        <w:jc w:val="both"/>
        <w:rPr>
          <w:rFonts w:ascii="Arial" w:hAnsi="Arial" w:cs="Arial"/>
          <w:sz w:val="28"/>
          <w:szCs w:val="28"/>
        </w:rPr>
      </w:pPr>
      <w:r>
        <w:rPr>
          <w:rFonts w:ascii="Arial" w:hAnsi="Arial" w:cs="Arial"/>
          <w:sz w:val="28"/>
          <w:szCs w:val="28"/>
        </w:rPr>
        <w:t xml:space="preserve">Figure 2 indicates that women and girls accounted for 53% of new STI diagnoses made in York between 2018 and 2022. However, the seven diagnoses made in people aged 65 years and over were in men. The age cohort with the highest number of new STI diagnoses was 20-24 years, accounting for 42% of all diagnoses.  </w:t>
      </w:r>
    </w:p>
    <w:p w14:paraId="29C23BC5" w14:textId="77777777" w:rsidR="00DD7D30" w:rsidRPr="00186AF1" w:rsidRDefault="00DD7D30" w:rsidP="00B777CD">
      <w:pPr>
        <w:jc w:val="both"/>
        <w:rPr>
          <w:rFonts w:ascii="Arial" w:hAnsi="Arial" w:cs="Arial"/>
          <w:sz w:val="28"/>
          <w:szCs w:val="28"/>
        </w:rPr>
      </w:pPr>
    </w:p>
    <w:p w14:paraId="1B7BC3FE" w14:textId="77777777" w:rsidR="00DD7D30" w:rsidRDefault="00DD7D30" w:rsidP="00B777CD">
      <w:pPr>
        <w:pStyle w:val="Heading3"/>
        <w:jc w:val="both"/>
      </w:pPr>
      <w:bookmarkStart w:id="27" w:name="_Toc121996488"/>
      <w:bookmarkStart w:id="28" w:name="_Toc124346944"/>
      <w:r>
        <w:lastRenderedPageBreak/>
        <w:t>4.2. STIs</w:t>
      </w:r>
      <w:bookmarkEnd w:id="27"/>
      <w:bookmarkEnd w:id="28"/>
    </w:p>
    <w:p w14:paraId="761AAF6D" w14:textId="77777777" w:rsidR="00DD7D30" w:rsidRDefault="00DD7D30" w:rsidP="00B777CD">
      <w:pPr>
        <w:pStyle w:val="NormalWeb"/>
        <w:shd w:val="clear" w:color="auto" w:fill="FFFFFF"/>
        <w:jc w:val="both"/>
        <w:rPr>
          <w:rFonts w:ascii="Arial" w:hAnsi="Arial" w:cs="Arial"/>
          <w:color w:val="222222"/>
          <w:sz w:val="28"/>
          <w:szCs w:val="28"/>
        </w:rPr>
      </w:pPr>
      <w:r>
        <w:rPr>
          <w:rFonts w:ascii="Arial" w:hAnsi="Arial" w:cs="Arial"/>
          <w:color w:val="222222"/>
          <w:sz w:val="28"/>
          <w:szCs w:val="28"/>
        </w:rPr>
        <w:t xml:space="preserve">STIs comprise of 30 different bacterial, </w:t>
      </w:r>
      <w:proofErr w:type="gramStart"/>
      <w:r>
        <w:rPr>
          <w:rFonts w:ascii="Arial" w:hAnsi="Arial" w:cs="Arial"/>
          <w:color w:val="222222"/>
          <w:sz w:val="28"/>
          <w:szCs w:val="28"/>
        </w:rPr>
        <w:t>viral</w:t>
      </w:r>
      <w:proofErr w:type="gramEnd"/>
      <w:r>
        <w:rPr>
          <w:rFonts w:ascii="Arial" w:hAnsi="Arial" w:cs="Arial"/>
          <w:color w:val="222222"/>
          <w:sz w:val="28"/>
          <w:szCs w:val="28"/>
        </w:rPr>
        <w:t xml:space="preserve"> and parasitic infections transmitted through sexual contact. Eight pathogens are associated with the largest incidence of STIs, of which four are curable: chlamydia, gonorrhoea, syphilis and trichomoniasis. The remaining four are incurable viral infections: hepatitis B, herpes simplex virus (HSV), HIV and human papillomavirus (HPV).</w:t>
      </w:r>
      <w:r>
        <w:rPr>
          <w:rStyle w:val="FootnoteReference"/>
          <w:rFonts w:ascii="Arial" w:hAnsi="Arial" w:cs="Arial"/>
          <w:color w:val="222222"/>
          <w:sz w:val="28"/>
          <w:szCs w:val="28"/>
        </w:rPr>
        <w:footnoteReference w:id="15"/>
      </w:r>
      <w:r>
        <w:rPr>
          <w:rFonts w:ascii="Arial" w:hAnsi="Arial" w:cs="Arial"/>
          <w:color w:val="222222"/>
          <w:sz w:val="28"/>
          <w:szCs w:val="28"/>
        </w:rPr>
        <w:t xml:space="preserve"> The emergence in recent years of new infections that may be acquired through sexual contact have also been a cause for concern, including </w:t>
      </w:r>
      <w:proofErr w:type="spellStart"/>
      <w:r>
        <w:rPr>
          <w:rFonts w:ascii="Arial" w:hAnsi="Arial" w:cs="Arial"/>
          <w:color w:val="222222"/>
          <w:sz w:val="28"/>
          <w:szCs w:val="28"/>
        </w:rPr>
        <w:t>mpox</w:t>
      </w:r>
      <w:proofErr w:type="spellEnd"/>
      <w:r>
        <w:rPr>
          <w:rFonts w:ascii="Arial" w:hAnsi="Arial" w:cs="Arial"/>
          <w:color w:val="222222"/>
          <w:sz w:val="28"/>
          <w:szCs w:val="28"/>
        </w:rPr>
        <w:t xml:space="preserve">, </w:t>
      </w:r>
      <w:proofErr w:type="spellStart"/>
      <w:r>
        <w:rPr>
          <w:rFonts w:ascii="Arial" w:hAnsi="Arial" w:cs="Arial"/>
          <w:color w:val="222222"/>
          <w:sz w:val="28"/>
          <w:szCs w:val="28"/>
        </w:rPr>
        <w:t>ebola</w:t>
      </w:r>
      <w:proofErr w:type="spellEnd"/>
      <w:r>
        <w:rPr>
          <w:rFonts w:ascii="Arial" w:hAnsi="Arial" w:cs="Arial"/>
          <w:color w:val="222222"/>
          <w:sz w:val="28"/>
          <w:szCs w:val="28"/>
        </w:rPr>
        <w:t xml:space="preserve"> and zika. </w:t>
      </w:r>
    </w:p>
    <w:p w14:paraId="78C8E5BA" w14:textId="77777777" w:rsidR="00DD7D30" w:rsidRDefault="00DD7D30" w:rsidP="00B777CD">
      <w:pPr>
        <w:pStyle w:val="NormalWeb"/>
        <w:shd w:val="clear" w:color="auto" w:fill="FFFFFF"/>
        <w:jc w:val="both"/>
        <w:rPr>
          <w:rFonts w:ascii="Arial" w:hAnsi="Arial" w:cs="Arial"/>
          <w:color w:val="222222"/>
          <w:sz w:val="28"/>
          <w:szCs w:val="28"/>
        </w:rPr>
      </w:pPr>
      <w:r>
        <w:rPr>
          <w:rFonts w:ascii="Arial" w:hAnsi="Arial" w:cs="Arial"/>
          <w:color w:val="222222"/>
          <w:sz w:val="28"/>
          <w:szCs w:val="28"/>
        </w:rPr>
        <w:t xml:space="preserve">STIs are often asymptomatic and frequent STI screening of groups with greater sexual health needs is important. Early detection and treatment can reduce long-term consequences, such as infertility and ectopic pregnancy. In some cases, vaccination can be a useful intervention for some infections like genital warts, HPV, hepatitis A and hepatitis B. However, the control of other STIs is reliant on correct and consistent condom use, behavioural changes to reduce multiple and overlapping partners and prompt notification and testing of partners’ sexual health in the event of a positive result. </w:t>
      </w:r>
    </w:p>
    <w:p w14:paraId="4E21F799" w14:textId="77777777" w:rsidR="00DD7D30" w:rsidRPr="0033435A" w:rsidRDefault="00DD7D30" w:rsidP="00B777CD">
      <w:pPr>
        <w:pStyle w:val="NormalWeb"/>
        <w:shd w:val="clear" w:color="auto" w:fill="FFFFFF"/>
        <w:jc w:val="both"/>
        <w:rPr>
          <w:rFonts w:ascii="Arial" w:hAnsi="Arial" w:cs="Arial"/>
          <w:sz w:val="28"/>
          <w:szCs w:val="28"/>
        </w:rPr>
      </w:pPr>
      <w:r>
        <w:rPr>
          <w:rFonts w:ascii="Arial" w:hAnsi="Arial" w:cs="Arial"/>
          <w:sz w:val="28"/>
          <w:szCs w:val="28"/>
        </w:rPr>
        <w:t>I</w:t>
      </w:r>
      <w:r w:rsidRPr="0033435A">
        <w:rPr>
          <w:rFonts w:ascii="Arial" w:hAnsi="Arial" w:cs="Arial"/>
          <w:sz w:val="28"/>
          <w:szCs w:val="28"/>
        </w:rPr>
        <w:t xml:space="preserve">n response to the COVID-19 pandemic, </w:t>
      </w:r>
      <w:r>
        <w:rPr>
          <w:rFonts w:ascii="Arial" w:hAnsi="Arial" w:cs="Arial"/>
          <w:sz w:val="28"/>
          <w:szCs w:val="28"/>
        </w:rPr>
        <w:t>and ensuing restrictions, s</w:t>
      </w:r>
      <w:r w:rsidRPr="0033435A">
        <w:rPr>
          <w:rFonts w:ascii="Arial" w:hAnsi="Arial" w:cs="Arial"/>
          <w:sz w:val="28"/>
          <w:szCs w:val="28"/>
        </w:rPr>
        <w:t>exual health services (SHS) in England had substantially reduced capacity to deliver face-to-face consultations but underwent rapid reconfiguration to increase access to STI testing via telephone or internet consultations. STI testing and diagnoses decreased across all infections between 2019 and 2020. Over this period, larger decreases in diagnoses were observed for STIs that are usually diagnosed clinically at a face-to-face consultation, such as genital warts or genital herpes, when compared to those that could be diagnosed using remote self-sampling kits such as chlamydia and gonorrhoea.</w:t>
      </w:r>
      <w:hyperlink r:id="rId13" w:anchor="fn3" w:history="1">
        <w:r w:rsidRPr="0033435A">
          <w:rPr>
            <w:rStyle w:val="Hyperlink"/>
            <w:rFonts w:ascii="Arial" w:hAnsi="Arial" w:cs="Arial"/>
            <w:sz w:val="20"/>
            <w:szCs w:val="20"/>
            <w:vertAlign w:val="superscript"/>
          </w:rPr>
          <w:t>3</w:t>
        </w:r>
      </w:hyperlink>
      <w:r w:rsidRPr="0033435A">
        <w:rPr>
          <w:rFonts w:ascii="Arial" w:hAnsi="Arial" w:cs="Arial"/>
          <w:sz w:val="28"/>
          <w:szCs w:val="28"/>
        </w:rPr>
        <w:t> In 2020, STIs continued to disproportionately impact gay, bisexual and other men who have sex with men (MSM), young people aged 15 to 24 years, and people of Black Caribbean ethnicity.</w:t>
      </w:r>
    </w:p>
    <w:p w14:paraId="08247922" w14:textId="77777777" w:rsidR="00DD7D30" w:rsidRPr="0033435A" w:rsidRDefault="00DD7D30" w:rsidP="00B777CD">
      <w:pPr>
        <w:pStyle w:val="NormalWeb"/>
        <w:shd w:val="clear" w:color="auto" w:fill="FFFFFF"/>
        <w:jc w:val="both"/>
        <w:rPr>
          <w:rFonts w:ascii="Arial" w:hAnsi="Arial" w:cs="Arial"/>
          <w:sz w:val="28"/>
          <w:szCs w:val="28"/>
        </w:rPr>
      </w:pPr>
      <w:r w:rsidRPr="0033435A">
        <w:rPr>
          <w:rFonts w:ascii="Arial" w:hAnsi="Arial" w:cs="Arial"/>
          <w:sz w:val="28"/>
          <w:szCs w:val="28"/>
        </w:rPr>
        <w:t>This report has been compiled using data from SHS and ‘community-based’ settings routine returns to the GUMCAD STI and CTAD Chlamydia surveillance systems.</w:t>
      </w:r>
    </w:p>
    <w:p w14:paraId="7A47CAF0" w14:textId="77777777" w:rsidR="00DD7D30" w:rsidRDefault="00DD7D30" w:rsidP="00B777CD">
      <w:pPr>
        <w:pStyle w:val="NormalWeb"/>
        <w:shd w:val="clear" w:color="auto" w:fill="FFFFFF"/>
        <w:jc w:val="both"/>
        <w:rPr>
          <w:rFonts w:ascii="Arial" w:hAnsi="Arial" w:cs="Arial"/>
          <w:sz w:val="28"/>
          <w:szCs w:val="28"/>
        </w:rPr>
      </w:pPr>
      <w:r w:rsidRPr="0033435A">
        <w:rPr>
          <w:rFonts w:ascii="Arial" w:hAnsi="Arial" w:cs="Arial"/>
          <w:sz w:val="28"/>
          <w:szCs w:val="28"/>
        </w:rPr>
        <w:t xml:space="preserve">‘Sexual health services’ refer to services offering specialist (level 3) STI-related care such as genitourinary medicine (GUM) and integrated GUM and sexual and reproductive health (SRH) services. They also include </w:t>
      </w:r>
      <w:r w:rsidRPr="0033435A">
        <w:rPr>
          <w:rFonts w:ascii="Arial" w:hAnsi="Arial" w:cs="Arial"/>
          <w:sz w:val="28"/>
          <w:szCs w:val="28"/>
        </w:rPr>
        <w:lastRenderedPageBreak/>
        <w:t>other services offering non-specialist (level 1 or level 2) STI-related care and community-based settings such as young people’s services, internet services, termination of pregnancy services, pharmacies, outreach, and general practice. Further details on the levels of sexual healthcare provision are provided in the BASHH Standards for the Management of STIs.</w:t>
      </w:r>
    </w:p>
    <w:p w14:paraId="2F41653B" w14:textId="01A500D2" w:rsidR="00DD7D30" w:rsidRDefault="00DD7D30" w:rsidP="00B777CD">
      <w:pPr>
        <w:pStyle w:val="Caption"/>
        <w:jc w:val="both"/>
        <w:rPr>
          <w:rFonts w:ascii="Arial" w:hAnsi="Arial" w:cs="Arial"/>
          <w:sz w:val="28"/>
          <w:szCs w:val="28"/>
        </w:rPr>
      </w:pPr>
      <w:r>
        <w:t xml:space="preserve">Table </w:t>
      </w:r>
      <w:fldSimple w:instr=" SEQ Table \* ARABIC ">
        <w:r w:rsidR="003743C8">
          <w:rPr>
            <w:noProof/>
          </w:rPr>
          <w:t>1</w:t>
        </w:r>
      </w:fldSimple>
      <w:r>
        <w:t>: Rates per 100,000 population of new STIs in York and England: 2019-2020</w:t>
      </w:r>
    </w:p>
    <w:p w14:paraId="7AD54EA3" w14:textId="77777777" w:rsidR="00DD7D30" w:rsidRDefault="00DD7D30" w:rsidP="00B777CD">
      <w:pPr>
        <w:pStyle w:val="NormalWeb"/>
        <w:shd w:val="clear" w:color="auto" w:fill="FFFFFF"/>
        <w:jc w:val="both"/>
        <w:rPr>
          <w:rFonts w:ascii="Arial" w:hAnsi="Arial" w:cs="Arial"/>
          <w:sz w:val="28"/>
          <w:szCs w:val="28"/>
        </w:rPr>
      </w:pPr>
      <w:r>
        <w:rPr>
          <w:noProof/>
        </w:rPr>
        <w:drawing>
          <wp:inline distT="0" distB="0" distL="0" distR="0" wp14:anchorId="29B9E0A8" wp14:editId="5AEC46F3">
            <wp:extent cx="5731510" cy="158496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584960"/>
                    </a:xfrm>
                    <a:prstGeom prst="rect">
                      <a:avLst/>
                    </a:prstGeom>
                  </pic:spPr>
                </pic:pic>
              </a:graphicData>
            </a:graphic>
          </wp:inline>
        </w:drawing>
      </w:r>
    </w:p>
    <w:p w14:paraId="6436CAFC" w14:textId="77777777" w:rsidR="00DD7D30" w:rsidRPr="0033435A" w:rsidRDefault="00DD7D30" w:rsidP="00B777CD">
      <w:pPr>
        <w:pStyle w:val="NormalWeb"/>
        <w:shd w:val="clear" w:color="auto" w:fill="FFFFFF"/>
        <w:jc w:val="both"/>
        <w:rPr>
          <w:rFonts w:ascii="Arial" w:hAnsi="Arial" w:cs="Arial"/>
          <w:sz w:val="28"/>
          <w:szCs w:val="28"/>
        </w:rPr>
      </w:pPr>
    </w:p>
    <w:p w14:paraId="2516047C" w14:textId="77777777" w:rsidR="00DD7D30" w:rsidRDefault="00DD7D30" w:rsidP="00B777CD">
      <w:pPr>
        <w:pStyle w:val="Heading3"/>
        <w:jc w:val="both"/>
      </w:pPr>
      <w:bookmarkStart w:id="29" w:name="_Toc121996489"/>
      <w:bookmarkStart w:id="30" w:name="_Toc124346945"/>
      <w:r>
        <w:t xml:space="preserve">4.3 </w:t>
      </w:r>
      <w:r w:rsidRPr="005B08C7">
        <w:t>Chlamydia</w:t>
      </w:r>
      <w:bookmarkEnd w:id="29"/>
      <w:bookmarkEnd w:id="30"/>
    </w:p>
    <w:p w14:paraId="58B6C1D7" w14:textId="77777777" w:rsidR="00DD7D30" w:rsidRDefault="00DD7D30" w:rsidP="00B777CD">
      <w:pPr>
        <w:pStyle w:val="NormalWeb"/>
        <w:shd w:val="clear" w:color="auto" w:fill="FFFFFF"/>
        <w:jc w:val="both"/>
        <w:rPr>
          <w:rFonts w:ascii="Arial" w:hAnsi="Arial" w:cs="Arial"/>
          <w:sz w:val="28"/>
          <w:szCs w:val="28"/>
        </w:rPr>
      </w:pPr>
      <w:r w:rsidRPr="005B08C7">
        <w:rPr>
          <w:rFonts w:ascii="Arial" w:hAnsi="Arial" w:cs="Arial"/>
          <w:sz w:val="28"/>
          <w:szCs w:val="28"/>
        </w:rPr>
        <w:t xml:space="preserve">Chlamydia is caused by the bacterium </w:t>
      </w:r>
      <w:r>
        <w:rPr>
          <w:rFonts w:ascii="Arial" w:hAnsi="Arial" w:cs="Arial"/>
          <w:sz w:val="28"/>
          <w:szCs w:val="28"/>
        </w:rPr>
        <w:t>c</w:t>
      </w:r>
      <w:r w:rsidRPr="005B08C7">
        <w:rPr>
          <w:rFonts w:ascii="Arial" w:hAnsi="Arial" w:cs="Arial"/>
          <w:sz w:val="28"/>
          <w:szCs w:val="28"/>
        </w:rPr>
        <w:t xml:space="preserve">hlamydia </w:t>
      </w:r>
      <w:r>
        <w:rPr>
          <w:rFonts w:ascii="Arial" w:hAnsi="Arial" w:cs="Arial"/>
          <w:sz w:val="28"/>
          <w:szCs w:val="28"/>
        </w:rPr>
        <w:t>t</w:t>
      </w:r>
      <w:r w:rsidRPr="005B08C7">
        <w:rPr>
          <w:rFonts w:ascii="Arial" w:hAnsi="Arial" w:cs="Arial"/>
          <w:sz w:val="28"/>
          <w:szCs w:val="28"/>
        </w:rPr>
        <w:t xml:space="preserve">rachomatis and is the most common bacterial sexually transmitted infection in England. Most people with </w:t>
      </w:r>
      <w:r>
        <w:rPr>
          <w:rFonts w:ascii="Arial" w:hAnsi="Arial" w:cs="Arial"/>
          <w:sz w:val="28"/>
          <w:szCs w:val="28"/>
        </w:rPr>
        <w:t>chl</w:t>
      </w:r>
      <w:r w:rsidRPr="005B08C7">
        <w:rPr>
          <w:rFonts w:ascii="Arial" w:hAnsi="Arial" w:cs="Arial"/>
          <w:sz w:val="28"/>
          <w:szCs w:val="28"/>
        </w:rPr>
        <w:t xml:space="preserve">amydia do not experience any symptoms and so may not know they have it. If untreated, </w:t>
      </w:r>
      <w:r>
        <w:rPr>
          <w:rFonts w:ascii="Arial" w:hAnsi="Arial" w:cs="Arial"/>
          <w:sz w:val="28"/>
          <w:szCs w:val="28"/>
        </w:rPr>
        <w:t>c</w:t>
      </w:r>
      <w:r w:rsidRPr="005B08C7">
        <w:rPr>
          <w:rFonts w:ascii="Arial" w:hAnsi="Arial" w:cs="Arial"/>
          <w:sz w:val="28"/>
          <w:szCs w:val="28"/>
        </w:rPr>
        <w:t xml:space="preserve">hlamydia can lead to complications including pelvic inflammatory disease, ectopic </w:t>
      </w:r>
      <w:proofErr w:type="gramStart"/>
      <w:r w:rsidRPr="005B08C7">
        <w:rPr>
          <w:rFonts w:ascii="Arial" w:hAnsi="Arial" w:cs="Arial"/>
          <w:sz w:val="28"/>
          <w:szCs w:val="28"/>
        </w:rPr>
        <w:t>pregnancy</w:t>
      </w:r>
      <w:proofErr w:type="gramEnd"/>
      <w:r w:rsidRPr="005B08C7">
        <w:rPr>
          <w:rFonts w:ascii="Arial" w:hAnsi="Arial" w:cs="Arial"/>
          <w:sz w:val="28"/>
          <w:szCs w:val="28"/>
        </w:rPr>
        <w:t xml:space="preserve"> and infertility. There are specific indicators for </w:t>
      </w:r>
      <w:proofErr w:type="gramStart"/>
      <w:r w:rsidRPr="005B08C7">
        <w:rPr>
          <w:rFonts w:ascii="Arial" w:hAnsi="Arial" w:cs="Arial"/>
          <w:sz w:val="28"/>
          <w:szCs w:val="28"/>
        </w:rPr>
        <w:t>15-24 year</w:t>
      </w:r>
      <w:r>
        <w:rPr>
          <w:rFonts w:ascii="Arial" w:hAnsi="Arial" w:cs="Arial"/>
          <w:sz w:val="28"/>
          <w:szCs w:val="28"/>
        </w:rPr>
        <w:t>-</w:t>
      </w:r>
      <w:r w:rsidRPr="005B08C7">
        <w:rPr>
          <w:rFonts w:ascii="Arial" w:hAnsi="Arial" w:cs="Arial"/>
          <w:sz w:val="28"/>
          <w:szCs w:val="28"/>
        </w:rPr>
        <w:t>olds</w:t>
      </w:r>
      <w:proofErr w:type="gramEnd"/>
      <w:r w:rsidRPr="005B08C7">
        <w:rPr>
          <w:rFonts w:ascii="Arial" w:hAnsi="Arial" w:cs="Arial"/>
          <w:sz w:val="28"/>
          <w:szCs w:val="28"/>
        </w:rPr>
        <w:t xml:space="preserve">, because </w:t>
      </w:r>
      <w:r>
        <w:rPr>
          <w:rFonts w:ascii="Arial" w:hAnsi="Arial" w:cs="Arial"/>
          <w:sz w:val="28"/>
          <w:szCs w:val="28"/>
        </w:rPr>
        <w:t>c</w:t>
      </w:r>
      <w:r w:rsidRPr="005B08C7">
        <w:rPr>
          <w:rFonts w:ascii="Arial" w:hAnsi="Arial" w:cs="Arial"/>
          <w:sz w:val="28"/>
          <w:szCs w:val="28"/>
        </w:rPr>
        <w:t>hlamydia disproportionally affects young people.</w:t>
      </w:r>
    </w:p>
    <w:p w14:paraId="7637492B" w14:textId="77777777" w:rsidR="00DD7D30" w:rsidRPr="005B08C7" w:rsidRDefault="00DD7D30" w:rsidP="00B777CD">
      <w:pPr>
        <w:pStyle w:val="NormalWeb"/>
        <w:shd w:val="clear" w:color="auto" w:fill="FFFFFF"/>
        <w:jc w:val="both"/>
        <w:rPr>
          <w:rFonts w:ascii="Arial" w:hAnsi="Arial" w:cs="Arial"/>
          <w:b/>
          <w:bCs/>
          <w:color w:val="222222"/>
          <w:sz w:val="28"/>
          <w:szCs w:val="28"/>
        </w:rPr>
      </w:pPr>
      <w:r>
        <w:rPr>
          <w:rFonts w:ascii="Arial" w:hAnsi="Arial" w:cs="Arial"/>
          <w:b/>
          <w:bCs/>
          <w:noProof/>
          <w:color w:val="222222"/>
          <w:sz w:val="28"/>
          <w:szCs w:val="28"/>
        </w:rPr>
        <w:lastRenderedPageBreak/>
        <w:drawing>
          <wp:inline distT="0" distB="0" distL="0" distR="0" wp14:anchorId="356AC1C7" wp14:editId="5B98BF8A">
            <wp:extent cx="5731510" cy="4298315"/>
            <wp:effectExtent l="0" t="0" r="2540" b="698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41FEDE52" w14:textId="0C921D36" w:rsidR="00DD7D30" w:rsidRDefault="00DD7D30" w:rsidP="00B777CD">
      <w:pPr>
        <w:pStyle w:val="Caption"/>
        <w:jc w:val="both"/>
        <w:rPr>
          <w:rFonts w:ascii="Arial" w:hAnsi="Arial" w:cs="Arial"/>
          <w:b/>
          <w:bCs/>
          <w:sz w:val="28"/>
          <w:szCs w:val="28"/>
        </w:rPr>
      </w:pPr>
      <w:r>
        <w:t xml:space="preserve">Figure </w:t>
      </w:r>
      <w:fldSimple w:instr=" SEQ Figure \* ARABIC ">
        <w:r w:rsidR="00A401A2">
          <w:rPr>
            <w:noProof/>
          </w:rPr>
          <w:t>3</w:t>
        </w:r>
      </w:fldSimple>
      <w:r>
        <w:t>: Chlamydia screening activity in York and England 2012-2021</w:t>
      </w:r>
    </w:p>
    <w:p w14:paraId="69A3D89D" w14:textId="3742F0F7" w:rsidR="00DD7D30" w:rsidRDefault="00DD7D30" w:rsidP="00B777CD">
      <w:pPr>
        <w:jc w:val="both"/>
        <w:rPr>
          <w:rFonts w:ascii="Arial" w:hAnsi="Arial" w:cs="Arial"/>
          <w:sz w:val="28"/>
          <w:szCs w:val="28"/>
        </w:rPr>
      </w:pPr>
      <w:r>
        <w:rPr>
          <w:rFonts w:ascii="Arial" w:hAnsi="Arial" w:cs="Arial"/>
          <w:sz w:val="28"/>
          <w:szCs w:val="28"/>
        </w:rPr>
        <w:t xml:space="preserve">Figure </w:t>
      </w:r>
      <w:r w:rsidR="00815BD0">
        <w:rPr>
          <w:rFonts w:ascii="Arial" w:hAnsi="Arial" w:cs="Arial"/>
          <w:sz w:val="28"/>
          <w:szCs w:val="28"/>
        </w:rPr>
        <w:t>3</w:t>
      </w:r>
      <w:r>
        <w:rPr>
          <w:rFonts w:ascii="Arial" w:hAnsi="Arial" w:cs="Arial"/>
          <w:sz w:val="28"/>
          <w:szCs w:val="28"/>
        </w:rPr>
        <w:t xml:space="preserve"> shows that chlamydia screening in York was significantly worse than the national average for the first three years. However, from 2016 onwards, screening has been above the national average and has followed a similar trend- rates in 2020 fell due to the COVID-19 pandemic but are beginning to pick up. In 2021, 6,615 (17.5%) young people aged 15-24 were screened for chlamydia. This is significantly better than the national average of 14.8%. </w:t>
      </w:r>
    </w:p>
    <w:p w14:paraId="4DB9DD4B" w14:textId="77777777" w:rsidR="00DD7D30" w:rsidRDefault="00DD7D30" w:rsidP="00B777CD">
      <w:pPr>
        <w:jc w:val="both"/>
        <w:rPr>
          <w:rFonts w:ascii="Arial" w:hAnsi="Arial" w:cs="Arial"/>
          <w:sz w:val="28"/>
          <w:szCs w:val="28"/>
        </w:rPr>
      </w:pPr>
    </w:p>
    <w:p w14:paraId="6E6B736A" w14:textId="77777777" w:rsidR="00DD7D30" w:rsidRDefault="00DD7D30" w:rsidP="00B777CD">
      <w:pPr>
        <w:jc w:val="both"/>
        <w:rPr>
          <w:rFonts w:ascii="Arial" w:hAnsi="Arial" w:cs="Arial"/>
          <w:sz w:val="28"/>
          <w:szCs w:val="28"/>
        </w:rPr>
      </w:pPr>
      <w:r>
        <w:rPr>
          <w:rFonts w:ascii="Arial" w:hAnsi="Arial" w:cs="Arial"/>
          <w:noProof/>
          <w:sz w:val="28"/>
          <w:szCs w:val="28"/>
        </w:rPr>
        <w:lastRenderedPageBreak/>
        <w:drawing>
          <wp:inline distT="0" distB="0" distL="0" distR="0" wp14:anchorId="0DF8FF95" wp14:editId="2471A091">
            <wp:extent cx="5731510" cy="4298315"/>
            <wp:effectExtent l="0" t="0" r="2540" b="698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2B379C4D" w14:textId="28E9BD45" w:rsidR="00DD7D30" w:rsidRPr="00AA5169" w:rsidRDefault="00DD7D30" w:rsidP="00B777CD">
      <w:pPr>
        <w:pStyle w:val="Caption"/>
        <w:jc w:val="both"/>
        <w:rPr>
          <w:rFonts w:ascii="Arial" w:hAnsi="Arial" w:cs="Arial"/>
          <w:sz w:val="28"/>
          <w:szCs w:val="28"/>
        </w:rPr>
      </w:pPr>
      <w:r>
        <w:t xml:space="preserve">Figure </w:t>
      </w:r>
      <w:fldSimple w:instr=" SEQ Figure \* ARABIC ">
        <w:r w:rsidR="00A401A2">
          <w:rPr>
            <w:noProof/>
          </w:rPr>
          <w:t>4</w:t>
        </w:r>
      </w:fldSimple>
      <w:r>
        <w:t>: Chlamydia detection rate in York and England, 2012-2021</w:t>
      </w:r>
    </w:p>
    <w:p w14:paraId="0F73F3F1" w14:textId="77777777" w:rsidR="00DD7D30" w:rsidRDefault="00DD7D30" w:rsidP="00B777CD">
      <w:pPr>
        <w:jc w:val="both"/>
        <w:rPr>
          <w:rFonts w:ascii="Arial" w:hAnsi="Arial" w:cs="Arial"/>
          <w:sz w:val="28"/>
          <w:szCs w:val="28"/>
        </w:rPr>
      </w:pPr>
      <w:r>
        <w:rPr>
          <w:rFonts w:ascii="Arial" w:hAnsi="Arial" w:cs="Arial"/>
          <w:sz w:val="28"/>
          <w:szCs w:val="28"/>
        </w:rPr>
        <w:t xml:space="preserve">The national target for chlamydia detection rate in 2021 for people aged 15-24 years was 1,762 per 100,000. York’s rate in the same year is 1,134 per 100,000 which is significantly lower, a trend seen in all but two years in the time measured. The rate amounts to 428 diagnoses of chlamydia. </w:t>
      </w:r>
    </w:p>
    <w:p w14:paraId="6E622057" w14:textId="77777777" w:rsidR="00DD7D30" w:rsidRDefault="00DD7D30" w:rsidP="00B777CD">
      <w:pPr>
        <w:jc w:val="both"/>
        <w:rPr>
          <w:rFonts w:ascii="Arial" w:hAnsi="Arial" w:cs="Arial"/>
          <w:sz w:val="28"/>
          <w:szCs w:val="28"/>
        </w:rPr>
      </w:pPr>
      <w:r>
        <w:rPr>
          <w:rFonts w:ascii="Arial" w:hAnsi="Arial" w:cs="Arial"/>
          <w:sz w:val="28"/>
          <w:szCs w:val="28"/>
        </w:rPr>
        <w:t xml:space="preserve"> </w:t>
      </w:r>
    </w:p>
    <w:p w14:paraId="457FA7DC" w14:textId="77777777" w:rsidR="00DD7D30" w:rsidRPr="00217C1F" w:rsidRDefault="00DD7D30" w:rsidP="00B777CD">
      <w:pPr>
        <w:pStyle w:val="Heading3"/>
        <w:jc w:val="both"/>
      </w:pPr>
      <w:bookmarkStart w:id="31" w:name="_Toc121996490"/>
      <w:bookmarkStart w:id="32" w:name="_Toc124346946"/>
      <w:r>
        <w:t xml:space="preserve">4.4 </w:t>
      </w:r>
      <w:r w:rsidRPr="00217C1F">
        <w:t>Chlamydia Detection</w:t>
      </w:r>
      <w:bookmarkEnd w:id="31"/>
      <w:bookmarkEnd w:id="32"/>
    </w:p>
    <w:p w14:paraId="4D577F4F" w14:textId="77777777" w:rsidR="00DD7D30" w:rsidRPr="00217C1F" w:rsidRDefault="00DD7D30" w:rsidP="00B777CD">
      <w:pPr>
        <w:pStyle w:val="NormalWeb"/>
        <w:shd w:val="clear" w:color="auto" w:fill="FFFFFF"/>
        <w:jc w:val="both"/>
        <w:rPr>
          <w:rFonts w:ascii="Arial" w:hAnsi="Arial" w:cs="Arial"/>
          <w:color w:val="222222"/>
          <w:sz w:val="28"/>
          <w:szCs w:val="28"/>
        </w:rPr>
      </w:pPr>
      <w:r w:rsidRPr="00217C1F">
        <w:rPr>
          <w:rFonts w:ascii="Arial" w:hAnsi="Arial" w:cs="Arial"/>
          <w:color w:val="222222"/>
          <w:sz w:val="28"/>
          <w:szCs w:val="28"/>
        </w:rPr>
        <w:t>In June 2021, the National Chlamydia Screening Programme (NCSP) changed to focus on reducing the harms from untreated chlamydia infection. These harms occur predominantly in young women and other people with a womb or ovaries - this includes transgender men, non-binary people assigned female at birth, and intersex people with a womb or ovaries. Therefore, opportunistic screening should focus on these groups, combined with reducing time to test results and treatment, strengthening partner notification and re-testing after treatment.</w:t>
      </w:r>
    </w:p>
    <w:p w14:paraId="30BBD21E" w14:textId="77777777" w:rsidR="00DD7D30" w:rsidRPr="00217C1F" w:rsidRDefault="00DD7D30" w:rsidP="00B777CD">
      <w:pPr>
        <w:pStyle w:val="NormalWeb"/>
        <w:shd w:val="clear" w:color="auto" w:fill="FFFFFF"/>
        <w:jc w:val="both"/>
        <w:rPr>
          <w:rFonts w:ascii="Arial" w:hAnsi="Arial" w:cs="Arial"/>
          <w:color w:val="222222"/>
          <w:sz w:val="28"/>
          <w:szCs w:val="28"/>
        </w:rPr>
      </w:pPr>
      <w:r w:rsidRPr="00217C1F">
        <w:rPr>
          <w:rFonts w:ascii="Arial" w:hAnsi="Arial" w:cs="Arial"/>
          <w:color w:val="222222"/>
          <w:sz w:val="28"/>
          <w:szCs w:val="28"/>
        </w:rPr>
        <w:t>In practice this means that chlamydia screening in community settings (</w:t>
      </w:r>
      <w:proofErr w:type="gramStart"/>
      <w:r w:rsidRPr="00217C1F">
        <w:rPr>
          <w:rFonts w:ascii="Arial" w:hAnsi="Arial" w:cs="Arial"/>
          <w:color w:val="222222"/>
          <w:sz w:val="28"/>
          <w:szCs w:val="28"/>
        </w:rPr>
        <w:t>e.g.</w:t>
      </w:r>
      <w:proofErr w:type="gramEnd"/>
      <w:r w:rsidRPr="00217C1F">
        <w:rPr>
          <w:rFonts w:ascii="Arial" w:hAnsi="Arial" w:cs="Arial"/>
          <w:color w:val="222222"/>
          <w:sz w:val="28"/>
          <w:szCs w:val="28"/>
        </w:rPr>
        <w:t xml:space="preserve"> GP and Community Pharmacy) will only be proactively offered to young women and other people with a womb or ovaries. Services </w:t>
      </w:r>
      <w:r w:rsidRPr="00217C1F">
        <w:rPr>
          <w:rFonts w:ascii="Arial" w:hAnsi="Arial" w:cs="Arial"/>
          <w:color w:val="222222"/>
          <w:sz w:val="28"/>
          <w:szCs w:val="28"/>
        </w:rPr>
        <w:lastRenderedPageBreak/>
        <w:t>provided by sexual health services remain unchanged and everyone can still get tested if needed.</w:t>
      </w:r>
    </w:p>
    <w:p w14:paraId="30788943" w14:textId="77777777" w:rsidR="00DD7D30" w:rsidRDefault="00DD7D30" w:rsidP="00B777CD">
      <w:pPr>
        <w:pStyle w:val="NormalWeb"/>
        <w:shd w:val="clear" w:color="auto" w:fill="FFFFFF"/>
        <w:jc w:val="both"/>
        <w:rPr>
          <w:rFonts w:ascii="Arial" w:hAnsi="Arial" w:cs="Arial"/>
          <w:color w:val="222222"/>
          <w:sz w:val="28"/>
          <w:szCs w:val="28"/>
        </w:rPr>
      </w:pPr>
      <w:r w:rsidRPr="00217C1F">
        <w:rPr>
          <w:rFonts w:ascii="Arial" w:hAnsi="Arial" w:cs="Arial"/>
          <w:color w:val="222222"/>
          <w:sz w:val="28"/>
          <w:szCs w:val="28"/>
        </w:rPr>
        <w:t xml:space="preserve">Given the change in programme aim, the Public Health Outcome Framework (PHOF) Detection Rate Indicator (DRI) benchmarking thresholds have been revised and will be measured against females only. A new </w:t>
      </w:r>
      <w:proofErr w:type="gramStart"/>
      <w:r w:rsidRPr="00217C1F">
        <w:rPr>
          <w:rFonts w:ascii="Arial" w:hAnsi="Arial" w:cs="Arial"/>
          <w:color w:val="222222"/>
          <w:sz w:val="28"/>
          <w:szCs w:val="28"/>
        </w:rPr>
        <w:t>female-only</w:t>
      </w:r>
      <w:proofErr w:type="gramEnd"/>
      <w:r w:rsidRPr="00217C1F">
        <w:rPr>
          <w:rFonts w:ascii="Arial" w:hAnsi="Arial" w:cs="Arial"/>
          <w:color w:val="222222"/>
          <w:sz w:val="28"/>
          <w:szCs w:val="28"/>
        </w:rPr>
        <w:t xml:space="preserve"> PHOF benchmark DRI will be included in the PHOF from January 2022 (to be reported in 2023).</w:t>
      </w:r>
      <w:r>
        <w:rPr>
          <w:rStyle w:val="FootnoteReference"/>
          <w:rFonts w:ascii="Arial" w:hAnsi="Arial" w:cs="Arial"/>
          <w:color w:val="222222"/>
          <w:sz w:val="28"/>
          <w:szCs w:val="28"/>
        </w:rPr>
        <w:footnoteReference w:id="16"/>
      </w:r>
      <w:r>
        <w:rPr>
          <w:rFonts w:ascii="Arial" w:hAnsi="Arial" w:cs="Arial"/>
          <w:color w:val="222222"/>
          <w:sz w:val="28"/>
          <w:szCs w:val="28"/>
        </w:rPr>
        <w:t xml:space="preserve"> </w:t>
      </w:r>
    </w:p>
    <w:p w14:paraId="1B36AA4E" w14:textId="77777777" w:rsidR="00DD7D30" w:rsidRPr="00217C1F" w:rsidRDefault="00DD7D30" w:rsidP="00B777CD">
      <w:pPr>
        <w:pStyle w:val="NormalWeb"/>
        <w:shd w:val="clear" w:color="auto" w:fill="FFFFFF"/>
        <w:jc w:val="both"/>
        <w:rPr>
          <w:rFonts w:ascii="Arial" w:hAnsi="Arial" w:cs="Arial"/>
          <w:color w:val="222222"/>
          <w:sz w:val="28"/>
          <w:szCs w:val="28"/>
        </w:rPr>
      </w:pPr>
    </w:p>
    <w:p w14:paraId="1B303972" w14:textId="77777777" w:rsidR="00DD7D30" w:rsidRPr="00217C1F" w:rsidRDefault="00DD7D30" w:rsidP="00B777CD">
      <w:pPr>
        <w:pStyle w:val="Heading3"/>
        <w:jc w:val="both"/>
      </w:pPr>
      <w:bookmarkStart w:id="33" w:name="_Toc121996491"/>
      <w:bookmarkStart w:id="34" w:name="_Toc124346947"/>
      <w:r>
        <w:t xml:space="preserve">4.5 </w:t>
      </w:r>
      <w:r w:rsidRPr="00217C1F">
        <w:t>Gonorrhoea</w:t>
      </w:r>
      <w:bookmarkEnd w:id="33"/>
      <w:bookmarkEnd w:id="34"/>
    </w:p>
    <w:p w14:paraId="24188C5A" w14:textId="77777777" w:rsidR="00DD7D30" w:rsidRDefault="00DD7D30" w:rsidP="00B777CD">
      <w:pPr>
        <w:jc w:val="both"/>
        <w:rPr>
          <w:rFonts w:ascii="Arial" w:hAnsi="Arial" w:cs="Arial"/>
          <w:sz w:val="28"/>
          <w:szCs w:val="28"/>
        </w:rPr>
      </w:pPr>
      <w:r w:rsidRPr="00217C1F">
        <w:rPr>
          <w:rFonts w:ascii="Arial" w:hAnsi="Arial" w:cs="Arial"/>
          <w:sz w:val="28"/>
          <w:szCs w:val="28"/>
        </w:rPr>
        <w:t xml:space="preserve">Neisseria gonorrhoea is a common STI which can lead to serious complications including pelvic inflammatory disease, ectopic </w:t>
      </w:r>
      <w:proofErr w:type="gramStart"/>
      <w:r w:rsidRPr="00217C1F">
        <w:rPr>
          <w:rFonts w:ascii="Arial" w:hAnsi="Arial" w:cs="Arial"/>
          <w:sz w:val="28"/>
          <w:szCs w:val="28"/>
        </w:rPr>
        <w:t>pregnancy</w:t>
      </w:r>
      <w:proofErr w:type="gramEnd"/>
      <w:r w:rsidRPr="00217C1F">
        <w:rPr>
          <w:rFonts w:ascii="Arial" w:hAnsi="Arial" w:cs="Arial"/>
          <w:sz w:val="28"/>
          <w:szCs w:val="28"/>
        </w:rPr>
        <w:t xml:space="preserve"> and infertility.</w:t>
      </w:r>
      <w:r>
        <w:rPr>
          <w:rFonts w:ascii="Arial" w:hAnsi="Arial" w:cs="Arial"/>
          <w:sz w:val="28"/>
          <w:szCs w:val="28"/>
        </w:rPr>
        <w:t xml:space="preserve"> Initial symptoms can include discoloured discharge from the vagina or penis, dysuria and for women bleeding between periods. </w:t>
      </w:r>
    </w:p>
    <w:p w14:paraId="5CCD2C8A" w14:textId="77777777" w:rsidR="00DD7D30" w:rsidRPr="00217C1F" w:rsidRDefault="00DD7D30" w:rsidP="00B777CD">
      <w:pPr>
        <w:jc w:val="both"/>
        <w:rPr>
          <w:rFonts w:ascii="Arial" w:hAnsi="Arial" w:cs="Arial"/>
          <w:b/>
          <w:bCs/>
          <w:sz w:val="28"/>
          <w:szCs w:val="28"/>
        </w:rPr>
      </w:pPr>
      <w:r>
        <w:rPr>
          <w:rFonts w:ascii="Arial" w:hAnsi="Arial" w:cs="Arial"/>
          <w:b/>
          <w:bCs/>
          <w:noProof/>
          <w:sz w:val="28"/>
          <w:szCs w:val="28"/>
        </w:rPr>
        <w:drawing>
          <wp:inline distT="0" distB="0" distL="0" distR="0" wp14:anchorId="36299F50" wp14:editId="75D18239">
            <wp:extent cx="5731510" cy="4298315"/>
            <wp:effectExtent l="0" t="0" r="2540" b="6985"/>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46328DCA" w14:textId="5F7EC04D" w:rsidR="00DD7D30" w:rsidRDefault="00DD7D30" w:rsidP="00B777CD">
      <w:pPr>
        <w:pStyle w:val="Caption"/>
        <w:jc w:val="both"/>
      </w:pPr>
      <w:r>
        <w:t xml:space="preserve">Figure </w:t>
      </w:r>
      <w:fldSimple w:instr=" SEQ Figure \* ARABIC ">
        <w:r w:rsidR="00A401A2">
          <w:rPr>
            <w:noProof/>
          </w:rPr>
          <w:t>5</w:t>
        </w:r>
      </w:fldSimple>
      <w:r>
        <w:t>: Gonorrhoea diagnostic rates in York and England 2012-2021</w:t>
      </w:r>
    </w:p>
    <w:p w14:paraId="1C764831" w14:textId="77777777" w:rsidR="00DD7D30" w:rsidRDefault="00DD7D30" w:rsidP="00B777CD">
      <w:pPr>
        <w:jc w:val="both"/>
      </w:pPr>
    </w:p>
    <w:p w14:paraId="00BC300F" w14:textId="3F54082A" w:rsidR="00DD7D30" w:rsidRPr="007E49A0" w:rsidRDefault="00DD7D30" w:rsidP="00B777CD">
      <w:pPr>
        <w:jc w:val="both"/>
        <w:rPr>
          <w:rFonts w:ascii="Arial" w:hAnsi="Arial" w:cs="Arial"/>
          <w:sz w:val="28"/>
          <w:szCs w:val="28"/>
        </w:rPr>
      </w:pPr>
      <w:r>
        <w:rPr>
          <w:rFonts w:ascii="Arial" w:hAnsi="Arial" w:cs="Arial"/>
          <w:sz w:val="28"/>
          <w:szCs w:val="28"/>
        </w:rPr>
        <w:lastRenderedPageBreak/>
        <w:t xml:space="preserve">Figure </w:t>
      </w:r>
      <w:r w:rsidR="00815BD0">
        <w:rPr>
          <w:rFonts w:ascii="Arial" w:hAnsi="Arial" w:cs="Arial"/>
          <w:sz w:val="28"/>
          <w:szCs w:val="28"/>
        </w:rPr>
        <w:t>5</w:t>
      </w:r>
      <w:r>
        <w:rPr>
          <w:rFonts w:ascii="Arial" w:hAnsi="Arial" w:cs="Arial"/>
          <w:sz w:val="28"/>
          <w:szCs w:val="28"/>
        </w:rPr>
        <w:t xml:space="preserve"> shows that diagnosis rates of gonorrhoea were rising gradually until 2019 before a sharp fall in 2020. Rates continued to decrease in 2021, most likely due to national lockdown measures affecting sexual health services. In 2021, 52 cases of gonorrhoea were diagnosed (25 per 100,000 people), 100 fewer than in 2019 (n = 152, or 72 per 100,000). The diagnosis rate nationally was 90 per 100,000 in 2021 (126 per 100,000 in 2019). </w:t>
      </w:r>
    </w:p>
    <w:p w14:paraId="4E8C6206" w14:textId="77777777" w:rsidR="00DD7D30" w:rsidRDefault="00DD7D30" w:rsidP="00B777CD">
      <w:pPr>
        <w:jc w:val="both"/>
        <w:rPr>
          <w:rFonts w:ascii="Arial" w:hAnsi="Arial" w:cs="Arial"/>
          <w:sz w:val="28"/>
          <w:szCs w:val="28"/>
        </w:rPr>
      </w:pPr>
      <w:r w:rsidRPr="007E0D62">
        <w:rPr>
          <w:rFonts w:ascii="Arial" w:hAnsi="Arial" w:cs="Arial"/>
          <w:sz w:val="28"/>
          <w:szCs w:val="28"/>
        </w:rPr>
        <w:t>Gonorrhoea is usually treated effectively with antibiotics.</w:t>
      </w:r>
      <w:r>
        <w:rPr>
          <w:rFonts w:ascii="Arial" w:hAnsi="Arial" w:cs="Arial"/>
          <w:sz w:val="28"/>
          <w:szCs w:val="28"/>
        </w:rPr>
        <w:t xml:space="preserve"> These can be administered empirically where there is a high likelihood of a positive diagnosis, such as the presentation with the above symptoms. </w:t>
      </w:r>
    </w:p>
    <w:p w14:paraId="7A997152" w14:textId="77777777" w:rsidR="00DD7D30" w:rsidRDefault="00DD7D30" w:rsidP="00B777CD">
      <w:pPr>
        <w:jc w:val="both"/>
        <w:rPr>
          <w:rFonts w:ascii="Arial" w:hAnsi="Arial" w:cs="Arial"/>
          <w:sz w:val="28"/>
          <w:szCs w:val="28"/>
        </w:rPr>
      </w:pPr>
    </w:p>
    <w:p w14:paraId="6B9D46BB" w14:textId="77777777" w:rsidR="00DD7D30" w:rsidRDefault="00DD7D30" w:rsidP="00B777CD">
      <w:pPr>
        <w:pStyle w:val="Heading3"/>
        <w:jc w:val="both"/>
      </w:pPr>
      <w:bookmarkStart w:id="35" w:name="_Toc121996492"/>
      <w:bookmarkStart w:id="36" w:name="_Toc124346948"/>
      <w:r>
        <w:t>4.6 Syphilis</w:t>
      </w:r>
      <w:bookmarkEnd w:id="35"/>
      <w:bookmarkEnd w:id="36"/>
    </w:p>
    <w:p w14:paraId="0BAF5C2A" w14:textId="77777777" w:rsidR="00DD7D30" w:rsidRPr="007E49A0" w:rsidRDefault="00DD7D30" w:rsidP="00B777CD">
      <w:pPr>
        <w:jc w:val="both"/>
        <w:rPr>
          <w:rFonts w:ascii="Arial" w:hAnsi="Arial" w:cs="Arial"/>
          <w:b/>
          <w:bCs/>
          <w:sz w:val="28"/>
          <w:szCs w:val="28"/>
        </w:rPr>
      </w:pPr>
      <w:r w:rsidRPr="007E49A0">
        <w:rPr>
          <w:rFonts w:ascii="Arial" w:hAnsi="Arial" w:cs="Arial"/>
          <w:sz w:val="28"/>
          <w:szCs w:val="28"/>
        </w:rPr>
        <w:t xml:space="preserve">Syphilis is a bacterial infection. </w:t>
      </w:r>
      <w:r>
        <w:rPr>
          <w:rFonts w:ascii="Arial" w:hAnsi="Arial" w:cs="Arial"/>
          <w:sz w:val="28"/>
          <w:szCs w:val="28"/>
        </w:rPr>
        <w:t>Undiagnosed, people with</w:t>
      </w:r>
      <w:r w:rsidRPr="007E49A0">
        <w:rPr>
          <w:rFonts w:ascii="Arial" w:hAnsi="Arial" w:cs="Arial"/>
          <w:sz w:val="28"/>
          <w:szCs w:val="28"/>
        </w:rPr>
        <w:t xml:space="preserve"> syphilis can experience ‘late stage’ complications, sometimes several decades after the original infection. This may include poor coordination, paralysis, numbness, blindness, dementia, fatal organ damage.</w:t>
      </w:r>
    </w:p>
    <w:p w14:paraId="616F5DD8" w14:textId="77777777" w:rsidR="00DD7D30" w:rsidRDefault="00DD7D30" w:rsidP="00B777CD">
      <w:pPr>
        <w:jc w:val="both"/>
        <w:rPr>
          <w:rFonts w:ascii="Arial" w:hAnsi="Arial" w:cs="Arial"/>
          <w:sz w:val="28"/>
          <w:szCs w:val="28"/>
        </w:rPr>
      </w:pPr>
      <w:r>
        <w:rPr>
          <w:rFonts w:ascii="Arial" w:hAnsi="Arial" w:cs="Arial"/>
          <w:noProof/>
          <w:sz w:val="28"/>
          <w:szCs w:val="28"/>
        </w:rPr>
        <w:drawing>
          <wp:inline distT="0" distB="0" distL="0" distR="0" wp14:anchorId="017DAD76" wp14:editId="4D7438F2">
            <wp:extent cx="5731510" cy="4298315"/>
            <wp:effectExtent l="0" t="0" r="2540" b="698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08701637" w14:textId="08080083" w:rsidR="00DD7D30" w:rsidRPr="000E0BE9" w:rsidRDefault="00DD7D30" w:rsidP="00B777CD">
      <w:pPr>
        <w:pStyle w:val="Caption"/>
        <w:jc w:val="both"/>
      </w:pPr>
      <w:r>
        <w:t xml:space="preserve">Figure </w:t>
      </w:r>
      <w:fldSimple w:instr=" SEQ Figure \* ARABIC ">
        <w:r w:rsidR="00A401A2">
          <w:rPr>
            <w:noProof/>
          </w:rPr>
          <w:t>6</w:t>
        </w:r>
      </w:fldSimple>
      <w:r>
        <w:t>: Syphilis diagnostic rate 2012-2021</w:t>
      </w:r>
    </w:p>
    <w:p w14:paraId="4F11014A" w14:textId="77777777" w:rsidR="00DD7D30" w:rsidRDefault="00DD7D30" w:rsidP="00B777CD">
      <w:pPr>
        <w:jc w:val="both"/>
        <w:rPr>
          <w:rFonts w:ascii="Arial" w:hAnsi="Arial" w:cs="Arial"/>
          <w:sz w:val="28"/>
          <w:szCs w:val="28"/>
        </w:rPr>
      </w:pPr>
      <w:r>
        <w:rPr>
          <w:rFonts w:ascii="Arial" w:hAnsi="Arial" w:cs="Arial"/>
          <w:sz w:val="28"/>
          <w:szCs w:val="28"/>
        </w:rPr>
        <w:lastRenderedPageBreak/>
        <w:t xml:space="preserve">There were 14 diagnoses of syphilis in 2021, or a rate of 6.6 per 100,000 people. There is no obvious trend in York with cases either doubling in one </w:t>
      </w:r>
      <w:proofErr w:type="gramStart"/>
      <w:r>
        <w:rPr>
          <w:rFonts w:ascii="Arial" w:hAnsi="Arial" w:cs="Arial"/>
          <w:sz w:val="28"/>
          <w:szCs w:val="28"/>
        </w:rPr>
        <w:t>year, or</w:t>
      </w:r>
      <w:proofErr w:type="gramEnd"/>
      <w:r>
        <w:rPr>
          <w:rFonts w:ascii="Arial" w:hAnsi="Arial" w:cs="Arial"/>
          <w:sz w:val="28"/>
          <w:szCs w:val="28"/>
        </w:rPr>
        <w:t xml:space="preserve"> falling sharply since 2012. This is in contrast with the national trend where cases have been gradually increasing. In 2019, PHE published an action plan addressing the increase in syphilis in England.</w:t>
      </w:r>
      <w:r>
        <w:rPr>
          <w:rStyle w:val="FootnoteReference"/>
          <w:rFonts w:ascii="Arial" w:hAnsi="Arial" w:cs="Arial"/>
          <w:sz w:val="28"/>
          <w:szCs w:val="28"/>
        </w:rPr>
        <w:footnoteReference w:id="17"/>
      </w:r>
      <w:r>
        <w:rPr>
          <w:rFonts w:ascii="Arial" w:hAnsi="Arial" w:cs="Arial"/>
          <w:sz w:val="28"/>
          <w:szCs w:val="28"/>
        </w:rPr>
        <w:t xml:space="preserve"> The report indicates that public health measures need to be strengthened </w:t>
      </w:r>
      <w:proofErr w:type="gramStart"/>
      <w:r>
        <w:rPr>
          <w:rFonts w:ascii="Arial" w:hAnsi="Arial" w:cs="Arial"/>
          <w:sz w:val="28"/>
          <w:szCs w:val="28"/>
        </w:rPr>
        <w:t>in order to</w:t>
      </w:r>
      <w:proofErr w:type="gramEnd"/>
      <w:r>
        <w:rPr>
          <w:rFonts w:ascii="Arial" w:hAnsi="Arial" w:cs="Arial"/>
          <w:sz w:val="28"/>
          <w:szCs w:val="28"/>
        </w:rPr>
        <w:t xml:space="preserve"> reduce transmission of syphilis. Syphilis rates are higher among men who have sex with men (MSM</w:t>
      </w:r>
      <w:proofErr w:type="gramStart"/>
      <w:r>
        <w:rPr>
          <w:rFonts w:ascii="Arial" w:hAnsi="Arial" w:cs="Arial"/>
          <w:sz w:val="28"/>
          <w:szCs w:val="28"/>
        </w:rPr>
        <w:t>)</w:t>
      </w:r>
      <w:proofErr w:type="gramEnd"/>
      <w:r>
        <w:rPr>
          <w:rFonts w:ascii="Arial" w:hAnsi="Arial" w:cs="Arial"/>
          <w:sz w:val="28"/>
          <w:szCs w:val="28"/>
        </w:rPr>
        <w:t xml:space="preserve"> but risk factors also include multiple sexual partners, substance use such as during “</w:t>
      </w:r>
      <w:proofErr w:type="spellStart"/>
      <w:r>
        <w:rPr>
          <w:rFonts w:ascii="Arial" w:hAnsi="Arial" w:cs="Arial"/>
          <w:sz w:val="28"/>
          <w:szCs w:val="28"/>
        </w:rPr>
        <w:t>chemsex</w:t>
      </w:r>
      <w:proofErr w:type="spellEnd"/>
      <w:r>
        <w:rPr>
          <w:rFonts w:ascii="Arial" w:hAnsi="Arial" w:cs="Arial"/>
          <w:sz w:val="28"/>
          <w:szCs w:val="28"/>
        </w:rPr>
        <w:t>” and transactional sex. Four prevention pillars have been optimised for control and prevention:</w:t>
      </w:r>
    </w:p>
    <w:p w14:paraId="5A6B4E65" w14:textId="77777777" w:rsidR="00DD7D30" w:rsidRPr="00743BC4" w:rsidRDefault="00DD7D30" w:rsidP="00B777CD">
      <w:pPr>
        <w:jc w:val="both"/>
        <w:rPr>
          <w:rFonts w:ascii="Arial" w:hAnsi="Arial" w:cs="Arial"/>
          <w:sz w:val="28"/>
          <w:szCs w:val="28"/>
        </w:rPr>
      </w:pPr>
      <w:r w:rsidRPr="00743BC4">
        <w:rPr>
          <w:rFonts w:ascii="Arial" w:hAnsi="Arial" w:cs="Arial"/>
          <w:sz w:val="28"/>
          <w:szCs w:val="28"/>
        </w:rPr>
        <w:t>1. Increase testing frequency of high-risk MSM and re-testing of syphilis cases after treatment</w:t>
      </w:r>
    </w:p>
    <w:p w14:paraId="61AB62B7" w14:textId="77777777" w:rsidR="00DD7D30" w:rsidRPr="00743BC4" w:rsidRDefault="00DD7D30" w:rsidP="00B777CD">
      <w:pPr>
        <w:jc w:val="both"/>
        <w:rPr>
          <w:rFonts w:ascii="Arial" w:hAnsi="Arial" w:cs="Arial"/>
          <w:sz w:val="28"/>
          <w:szCs w:val="28"/>
        </w:rPr>
      </w:pPr>
      <w:r w:rsidRPr="00743BC4">
        <w:rPr>
          <w:rFonts w:ascii="Arial" w:hAnsi="Arial" w:cs="Arial"/>
          <w:sz w:val="28"/>
          <w:szCs w:val="28"/>
        </w:rPr>
        <w:t>2. Deliver partner notification to BASHH standards</w:t>
      </w:r>
    </w:p>
    <w:p w14:paraId="06F6E126" w14:textId="77777777" w:rsidR="00DD7D30" w:rsidRPr="00743BC4" w:rsidRDefault="00DD7D30" w:rsidP="00B777CD">
      <w:pPr>
        <w:jc w:val="both"/>
        <w:rPr>
          <w:rFonts w:ascii="Arial" w:hAnsi="Arial" w:cs="Arial"/>
          <w:sz w:val="28"/>
          <w:szCs w:val="28"/>
        </w:rPr>
      </w:pPr>
      <w:r w:rsidRPr="00743BC4">
        <w:rPr>
          <w:rFonts w:ascii="Arial" w:hAnsi="Arial" w:cs="Arial"/>
          <w:sz w:val="28"/>
          <w:szCs w:val="28"/>
        </w:rPr>
        <w:t>3. Maintain high antenatal screening coverage and vigilance for syphilis throughout antenatal care</w:t>
      </w:r>
    </w:p>
    <w:p w14:paraId="48281A0A" w14:textId="77777777" w:rsidR="00DD7D30" w:rsidRPr="00743BC4" w:rsidRDefault="00DD7D30" w:rsidP="00B777CD">
      <w:pPr>
        <w:jc w:val="both"/>
        <w:rPr>
          <w:rFonts w:ascii="Arial" w:hAnsi="Arial" w:cs="Arial"/>
          <w:sz w:val="28"/>
          <w:szCs w:val="28"/>
        </w:rPr>
      </w:pPr>
      <w:r w:rsidRPr="00743BC4">
        <w:rPr>
          <w:rFonts w:ascii="Arial" w:hAnsi="Arial" w:cs="Arial"/>
          <w:sz w:val="28"/>
          <w:szCs w:val="28"/>
        </w:rPr>
        <w:t>4. Sustain targeted health promotion</w:t>
      </w:r>
    </w:p>
    <w:p w14:paraId="457BC40E" w14:textId="77777777" w:rsidR="00DD7D30" w:rsidRDefault="00DD7D30" w:rsidP="00B777CD">
      <w:pPr>
        <w:jc w:val="both"/>
      </w:pPr>
    </w:p>
    <w:p w14:paraId="381D1F6F" w14:textId="77777777" w:rsidR="00DD7D30" w:rsidRDefault="00DD7D30" w:rsidP="00B777CD">
      <w:pPr>
        <w:pStyle w:val="Heading3"/>
        <w:jc w:val="both"/>
      </w:pPr>
      <w:bookmarkStart w:id="37" w:name="_Toc121996493"/>
      <w:bookmarkStart w:id="38" w:name="_Toc124346949"/>
      <w:r>
        <w:t xml:space="preserve">4.7 </w:t>
      </w:r>
      <w:r w:rsidRPr="00DE7252">
        <w:t>Genital Herpes</w:t>
      </w:r>
      <w:bookmarkEnd w:id="37"/>
      <w:bookmarkEnd w:id="38"/>
    </w:p>
    <w:p w14:paraId="504BB0B4" w14:textId="77777777" w:rsidR="00DD7D30" w:rsidRPr="00DE7252" w:rsidRDefault="00DD7D30" w:rsidP="00B777CD">
      <w:pPr>
        <w:jc w:val="both"/>
        <w:rPr>
          <w:rFonts w:ascii="Arial" w:hAnsi="Arial" w:cs="Arial"/>
          <w:b/>
          <w:bCs/>
          <w:sz w:val="28"/>
          <w:szCs w:val="28"/>
        </w:rPr>
      </w:pPr>
      <w:r w:rsidRPr="00DE7252">
        <w:rPr>
          <w:rFonts w:ascii="Arial" w:hAnsi="Arial" w:cs="Arial"/>
          <w:sz w:val="28"/>
          <w:szCs w:val="28"/>
        </w:rPr>
        <w:t>Genital herpes simplex virus is a common sexually transmitted infection. It causes groups of small painful blisters which occur in periodic recurrent episodes. This means that people with genital herpes live with the condition longer after diagnosis than they would with many other forms of STI.</w:t>
      </w:r>
    </w:p>
    <w:p w14:paraId="02C6B8E5" w14:textId="77777777" w:rsidR="00DD7D30" w:rsidRPr="00DE7252" w:rsidRDefault="00DD7D30" w:rsidP="00B777CD">
      <w:pPr>
        <w:jc w:val="both"/>
        <w:rPr>
          <w:rFonts w:ascii="Arial" w:hAnsi="Arial" w:cs="Arial"/>
          <w:sz w:val="28"/>
          <w:szCs w:val="28"/>
        </w:rPr>
      </w:pPr>
      <w:r>
        <w:rPr>
          <w:rFonts w:ascii="Arial" w:hAnsi="Arial" w:cs="Arial"/>
          <w:noProof/>
          <w:sz w:val="28"/>
          <w:szCs w:val="28"/>
        </w:rPr>
        <w:lastRenderedPageBreak/>
        <w:drawing>
          <wp:inline distT="0" distB="0" distL="0" distR="0" wp14:anchorId="7EB974C7" wp14:editId="2BC1EBEF">
            <wp:extent cx="5731510" cy="4298315"/>
            <wp:effectExtent l="0" t="0" r="2540" b="698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1CAFD1F4" w14:textId="5FD7BEC6" w:rsidR="00DD7D30" w:rsidRDefault="00DD7D30" w:rsidP="00B777CD">
      <w:pPr>
        <w:pStyle w:val="Caption"/>
        <w:jc w:val="both"/>
        <w:rPr>
          <w:rFonts w:ascii="Arial" w:hAnsi="Arial" w:cs="Arial"/>
          <w:sz w:val="28"/>
          <w:szCs w:val="28"/>
        </w:rPr>
      </w:pPr>
      <w:r>
        <w:t xml:space="preserve">Figure </w:t>
      </w:r>
      <w:fldSimple w:instr=" SEQ Figure \* ARABIC ">
        <w:r w:rsidR="00A401A2">
          <w:rPr>
            <w:noProof/>
          </w:rPr>
          <w:t>7</w:t>
        </w:r>
      </w:fldSimple>
      <w:r>
        <w:t>: Genital herpes diagnosis rate per 100,000 2012-2021</w:t>
      </w:r>
    </w:p>
    <w:p w14:paraId="2016504B" w14:textId="0137A2D9" w:rsidR="00DD7D30" w:rsidRDefault="00DD7D30" w:rsidP="00B777CD">
      <w:pPr>
        <w:jc w:val="both"/>
        <w:rPr>
          <w:rFonts w:ascii="Arial" w:hAnsi="Arial" w:cs="Arial"/>
          <w:sz w:val="28"/>
          <w:szCs w:val="28"/>
        </w:rPr>
      </w:pPr>
      <w:r>
        <w:rPr>
          <w:rFonts w:ascii="Arial" w:hAnsi="Arial" w:cs="Arial"/>
          <w:sz w:val="28"/>
          <w:szCs w:val="28"/>
        </w:rPr>
        <w:t xml:space="preserve">Figure </w:t>
      </w:r>
      <w:r w:rsidR="00815BD0">
        <w:rPr>
          <w:rFonts w:ascii="Arial" w:hAnsi="Arial" w:cs="Arial"/>
          <w:sz w:val="28"/>
          <w:szCs w:val="28"/>
        </w:rPr>
        <w:t>7</w:t>
      </w:r>
      <w:r>
        <w:rPr>
          <w:rFonts w:ascii="Arial" w:hAnsi="Arial" w:cs="Arial"/>
          <w:sz w:val="28"/>
          <w:szCs w:val="28"/>
        </w:rPr>
        <w:t xml:space="preserve"> shows a mixed picture in York. In the years immediately prior to the Covid-19 pandemic, the diagnosis rates were significantly worse than the national average (n = 170, 81 per 100,000 people in 2018). In 2019, rates fell to 60.3 per 100,000 in line with national averages. </w:t>
      </w:r>
    </w:p>
    <w:p w14:paraId="1312FEC7" w14:textId="77777777" w:rsidR="00DD7D30" w:rsidRDefault="00DD7D30" w:rsidP="00B777CD">
      <w:pPr>
        <w:jc w:val="both"/>
        <w:rPr>
          <w:rFonts w:ascii="Arial" w:hAnsi="Arial" w:cs="Arial"/>
          <w:sz w:val="28"/>
          <w:szCs w:val="28"/>
        </w:rPr>
      </w:pPr>
    </w:p>
    <w:p w14:paraId="5AC4CE3D" w14:textId="77777777" w:rsidR="00DD7D30" w:rsidRDefault="00DD7D30" w:rsidP="00B777CD">
      <w:pPr>
        <w:pStyle w:val="Heading3"/>
        <w:jc w:val="both"/>
      </w:pPr>
      <w:bookmarkStart w:id="39" w:name="_Toc121996494"/>
      <w:bookmarkStart w:id="40" w:name="_Toc124346950"/>
      <w:r>
        <w:t>4.8 Genital Warts</w:t>
      </w:r>
      <w:bookmarkEnd w:id="39"/>
      <w:bookmarkEnd w:id="40"/>
    </w:p>
    <w:p w14:paraId="4B28F1F8" w14:textId="77777777" w:rsidR="00DD7D30" w:rsidRDefault="00DD7D30" w:rsidP="00B777CD">
      <w:pPr>
        <w:jc w:val="both"/>
        <w:rPr>
          <w:rFonts w:ascii="Arial" w:hAnsi="Arial" w:cs="Arial"/>
          <w:sz w:val="28"/>
          <w:szCs w:val="28"/>
        </w:rPr>
      </w:pPr>
      <w:r>
        <w:rPr>
          <w:rFonts w:ascii="Arial" w:hAnsi="Arial" w:cs="Arial"/>
          <w:sz w:val="28"/>
          <w:szCs w:val="28"/>
        </w:rPr>
        <w:t>Genital warts (</w:t>
      </w:r>
      <w:proofErr w:type="spellStart"/>
      <w:r>
        <w:rPr>
          <w:rFonts w:ascii="Arial" w:hAnsi="Arial" w:cs="Arial"/>
          <w:sz w:val="28"/>
          <w:szCs w:val="28"/>
        </w:rPr>
        <w:t>condylomata</w:t>
      </w:r>
      <w:proofErr w:type="spellEnd"/>
      <w:r>
        <w:rPr>
          <w:rFonts w:ascii="Arial" w:hAnsi="Arial" w:cs="Arial"/>
          <w:sz w:val="28"/>
          <w:szCs w:val="28"/>
        </w:rPr>
        <w:t xml:space="preserve"> acuminata) are soft fleshy growths that appear on the genitals and can cause pain, discomfort and itching. They are a common STI caused by the HPV virus. </w:t>
      </w:r>
    </w:p>
    <w:p w14:paraId="7CD7A1F0" w14:textId="77777777" w:rsidR="00DD7D30" w:rsidRDefault="00DD7D30" w:rsidP="00B777CD">
      <w:pPr>
        <w:jc w:val="both"/>
        <w:rPr>
          <w:rFonts w:ascii="Arial" w:hAnsi="Arial" w:cs="Arial"/>
          <w:sz w:val="28"/>
          <w:szCs w:val="28"/>
        </w:rPr>
      </w:pPr>
    </w:p>
    <w:p w14:paraId="776C7523" w14:textId="77777777" w:rsidR="00DD7D30" w:rsidRPr="002E50CE" w:rsidRDefault="00DD7D30" w:rsidP="00B777CD">
      <w:pPr>
        <w:jc w:val="both"/>
        <w:rPr>
          <w:rFonts w:ascii="Arial" w:hAnsi="Arial" w:cs="Arial"/>
          <w:sz w:val="28"/>
          <w:szCs w:val="28"/>
        </w:rPr>
      </w:pPr>
      <w:r>
        <w:rPr>
          <w:rFonts w:ascii="Arial" w:hAnsi="Arial" w:cs="Arial"/>
          <w:noProof/>
          <w:sz w:val="28"/>
          <w:szCs w:val="28"/>
        </w:rPr>
        <w:lastRenderedPageBreak/>
        <w:drawing>
          <wp:inline distT="0" distB="0" distL="0" distR="0" wp14:anchorId="4984EA31" wp14:editId="0B1946C0">
            <wp:extent cx="5731510" cy="4298315"/>
            <wp:effectExtent l="0" t="0" r="2540" b="6985"/>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16D6B0C9" w14:textId="4C568BE7" w:rsidR="00DD7D30" w:rsidRDefault="00DD7D30" w:rsidP="00B777CD">
      <w:pPr>
        <w:pStyle w:val="Caption"/>
        <w:jc w:val="both"/>
        <w:rPr>
          <w:rFonts w:ascii="Arial" w:hAnsi="Arial" w:cs="Arial"/>
          <w:sz w:val="28"/>
          <w:szCs w:val="28"/>
        </w:rPr>
      </w:pPr>
      <w:r>
        <w:t xml:space="preserve">Figure </w:t>
      </w:r>
      <w:fldSimple w:instr=" SEQ Figure \* ARABIC ">
        <w:r w:rsidR="00A401A2">
          <w:rPr>
            <w:noProof/>
          </w:rPr>
          <w:t>8</w:t>
        </w:r>
      </w:fldSimple>
      <w:r>
        <w:t>: genital warts diagnostic rate per 100,000 2012-2021</w:t>
      </w:r>
    </w:p>
    <w:p w14:paraId="4548C63E" w14:textId="52A8C4D3" w:rsidR="00DD7D30" w:rsidRDefault="00DD7D30" w:rsidP="00B777CD">
      <w:pPr>
        <w:jc w:val="both"/>
        <w:rPr>
          <w:rFonts w:ascii="Arial" w:hAnsi="Arial" w:cs="Arial"/>
          <w:sz w:val="28"/>
          <w:szCs w:val="28"/>
        </w:rPr>
      </w:pPr>
      <w:r>
        <w:rPr>
          <w:rFonts w:ascii="Arial" w:hAnsi="Arial" w:cs="Arial"/>
          <w:sz w:val="28"/>
          <w:szCs w:val="28"/>
        </w:rPr>
        <w:t xml:space="preserve">Figure </w:t>
      </w:r>
      <w:r w:rsidR="00815BD0">
        <w:rPr>
          <w:rFonts w:ascii="Arial" w:hAnsi="Arial" w:cs="Arial"/>
          <w:sz w:val="28"/>
          <w:szCs w:val="28"/>
        </w:rPr>
        <w:t>8</w:t>
      </w:r>
      <w:r>
        <w:rPr>
          <w:rFonts w:ascii="Arial" w:hAnsi="Arial" w:cs="Arial"/>
          <w:sz w:val="28"/>
          <w:szCs w:val="28"/>
        </w:rPr>
        <w:t xml:space="preserve"> indicates that whilst the number of diagnoses is reducing in line with national rates, York still has a significantly higher rate of new cases. In 2015, cases rose by 30% to 185.1 per 100,000 (n = 381) people before falling in 2016 to the original 2014 rates (142.4 per 100,000 people; n = 290). Since then, cases have gradually reduced each year with 2021 rates at their lowest at 61.6 per 100,000 people (n = 130). </w:t>
      </w:r>
    </w:p>
    <w:p w14:paraId="13EA0D58" w14:textId="77777777" w:rsidR="00DD7D30" w:rsidRDefault="00DD7D30" w:rsidP="00B777CD">
      <w:pPr>
        <w:jc w:val="both"/>
        <w:rPr>
          <w:rFonts w:ascii="Arial" w:hAnsi="Arial" w:cs="Arial"/>
          <w:sz w:val="28"/>
          <w:szCs w:val="28"/>
        </w:rPr>
      </w:pPr>
    </w:p>
    <w:p w14:paraId="150EB420" w14:textId="77777777" w:rsidR="00DD7D30" w:rsidRDefault="00DD7D30" w:rsidP="00B777CD">
      <w:pPr>
        <w:jc w:val="both"/>
        <w:rPr>
          <w:rFonts w:ascii="Arial" w:hAnsi="Arial" w:cs="Arial"/>
          <w:sz w:val="28"/>
          <w:szCs w:val="28"/>
        </w:rPr>
      </w:pPr>
    </w:p>
    <w:p w14:paraId="7020EA37" w14:textId="77777777" w:rsidR="00DD7D30" w:rsidRDefault="00DD7D30" w:rsidP="00B777CD">
      <w:pPr>
        <w:jc w:val="both"/>
        <w:rPr>
          <w:rFonts w:ascii="Arial" w:hAnsi="Arial" w:cs="Arial"/>
          <w:sz w:val="28"/>
          <w:szCs w:val="28"/>
        </w:rPr>
      </w:pPr>
    </w:p>
    <w:p w14:paraId="39C641D5" w14:textId="77777777" w:rsidR="00DD7D30" w:rsidRPr="00985A50" w:rsidRDefault="00DD7D30" w:rsidP="00B777CD">
      <w:pPr>
        <w:pStyle w:val="Heading3"/>
        <w:jc w:val="both"/>
      </w:pPr>
      <w:bookmarkStart w:id="41" w:name="_Toc121996495"/>
      <w:bookmarkStart w:id="42" w:name="_Toc124346951"/>
      <w:r>
        <w:rPr>
          <w:noProof/>
        </w:rPr>
        <w:lastRenderedPageBreak/>
        <w:drawing>
          <wp:anchor distT="0" distB="0" distL="114300" distR="114300" simplePos="0" relativeHeight="251659264" behindDoc="1" locked="0" layoutInCell="1" allowOverlap="1" wp14:anchorId="63BBEB45" wp14:editId="3B3DA6C2">
            <wp:simplePos x="0" y="0"/>
            <wp:positionH relativeFrom="margin">
              <wp:posOffset>-247650</wp:posOffset>
            </wp:positionH>
            <wp:positionV relativeFrom="paragraph">
              <wp:posOffset>325755</wp:posOffset>
            </wp:positionV>
            <wp:extent cx="6254750" cy="4057650"/>
            <wp:effectExtent l="0" t="0" r="0" b="0"/>
            <wp:wrapTight wrapText="bothSides">
              <wp:wrapPolygon edited="0">
                <wp:start x="0" y="0"/>
                <wp:lineTo x="0" y="21499"/>
                <wp:lineTo x="21512" y="21499"/>
                <wp:lineTo x="21512" y="0"/>
                <wp:lineTo x="0" y="0"/>
              </wp:wrapPolygon>
            </wp:wrapTight>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6254750" cy="4057650"/>
                    </a:xfrm>
                    <a:prstGeom prst="rect">
                      <a:avLst/>
                    </a:prstGeom>
                  </pic:spPr>
                </pic:pic>
              </a:graphicData>
            </a:graphic>
            <wp14:sizeRelH relativeFrom="margin">
              <wp14:pctWidth>0</wp14:pctWidth>
            </wp14:sizeRelH>
            <wp14:sizeRelV relativeFrom="margin">
              <wp14:pctHeight>0</wp14:pctHeight>
            </wp14:sizeRelV>
          </wp:anchor>
        </w:drawing>
      </w:r>
      <w:r>
        <w:t xml:space="preserve">4.9 </w:t>
      </w:r>
      <w:r w:rsidRPr="00985A50">
        <w:t>HIV</w:t>
      </w:r>
      <w:bookmarkEnd w:id="41"/>
      <w:bookmarkEnd w:id="42"/>
    </w:p>
    <w:p w14:paraId="05D859FB" w14:textId="77777777" w:rsidR="00DD7D30" w:rsidRDefault="00DD7D30" w:rsidP="00B777CD">
      <w:pPr>
        <w:jc w:val="both"/>
        <w:rPr>
          <w:rFonts w:ascii="Arial" w:hAnsi="Arial" w:cs="Arial"/>
          <w:sz w:val="28"/>
          <w:szCs w:val="28"/>
        </w:rPr>
      </w:pPr>
      <w:r>
        <w:rPr>
          <w:rFonts w:ascii="Arial" w:hAnsi="Arial" w:cs="Arial"/>
          <w:sz w:val="28"/>
          <w:szCs w:val="28"/>
        </w:rPr>
        <w:t xml:space="preserve">Human immunodeficiency virus (HIV) is a chronic infection that attacks the body’s CD4+ T helper cells, white blood cells that play an essential part to the human immune system. Whilst incurable, HIV can be managed by timely diagnosis and consistent treatment however patients can still be at risk of opportunistic infections and some cancers. With advances in treatment, people living with HIV can expect to have a similar life expectancy to HIV-negative people. Left untreated however, HIV will progress to acquired immune deficiency syndrome (AIDS). Damage to the immune system at this stage can cause serious AIDS-defining illnesses such as tuberculosis (TB), pneumonia and cancer. </w:t>
      </w:r>
    </w:p>
    <w:p w14:paraId="58009E3E" w14:textId="7452B496" w:rsidR="00DD7D30" w:rsidRDefault="00DD7D30" w:rsidP="00B777CD">
      <w:pPr>
        <w:jc w:val="both"/>
        <w:rPr>
          <w:rFonts w:ascii="Arial" w:hAnsi="Arial" w:cs="Arial"/>
          <w:color w:val="222222"/>
          <w:sz w:val="28"/>
          <w:szCs w:val="28"/>
          <w:shd w:val="clear" w:color="auto" w:fill="FFFFFF"/>
        </w:rPr>
      </w:pPr>
      <w:r w:rsidRPr="00330755">
        <w:rPr>
          <w:rFonts w:ascii="Arial" w:hAnsi="Arial" w:cs="Arial"/>
          <w:color w:val="222222"/>
          <w:sz w:val="28"/>
          <w:szCs w:val="28"/>
          <w:shd w:val="clear" w:color="auto" w:fill="FFFFFF"/>
        </w:rPr>
        <w:t>In </w:t>
      </w:r>
      <w:r w:rsidRPr="00330755">
        <w:rPr>
          <w:rStyle w:val="dynamic"/>
          <w:rFonts w:ascii="Arial" w:hAnsi="Arial" w:cs="Arial"/>
          <w:color w:val="222222"/>
          <w:sz w:val="28"/>
          <w:szCs w:val="28"/>
        </w:rPr>
        <w:t>2020</w:t>
      </w:r>
      <w:r w:rsidRPr="00330755">
        <w:rPr>
          <w:rFonts w:ascii="Arial" w:hAnsi="Arial" w:cs="Arial"/>
          <w:color w:val="222222"/>
          <w:sz w:val="28"/>
          <w:szCs w:val="28"/>
          <w:shd w:val="clear" w:color="auto" w:fill="FFFFFF"/>
        </w:rPr>
        <w:t>, the number of </w:t>
      </w:r>
      <w:r w:rsidRPr="00330755">
        <w:rPr>
          <w:rStyle w:val="dynamic"/>
          <w:rFonts w:ascii="Arial" w:hAnsi="Arial" w:cs="Arial"/>
          <w:color w:val="222222"/>
          <w:sz w:val="28"/>
          <w:szCs w:val="28"/>
        </w:rPr>
        <w:t>York</w:t>
      </w:r>
      <w:r w:rsidRPr="00330755">
        <w:rPr>
          <w:rFonts w:ascii="Arial" w:hAnsi="Arial" w:cs="Arial"/>
          <w:color w:val="222222"/>
          <w:sz w:val="28"/>
          <w:szCs w:val="28"/>
          <w:shd w:val="clear" w:color="auto" w:fill="FFFFFF"/>
        </w:rPr>
        <w:t> residents aged 15 years and older who were newly diagnosed with HIV in the UK was </w:t>
      </w:r>
      <w:r w:rsidRPr="00330755">
        <w:rPr>
          <w:rStyle w:val="dynamic"/>
          <w:rFonts w:ascii="Arial" w:hAnsi="Arial" w:cs="Arial"/>
          <w:color w:val="222222"/>
          <w:sz w:val="28"/>
          <w:szCs w:val="28"/>
        </w:rPr>
        <w:t>4</w:t>
      </w:r>
      <w:r w:rsidRPr="00330755">
        <w:rPr>
          <w:rFonts w:ascii="Arial" w:hAnsi="Arial" w:cs="Arial"/>
          <w:color w:val="222222"/>
          <w:sz w:val="28"/>
          <w:szCs w:val="28"/>
          <w:shd w:val="clear" w:color="auto" w:fill="FFFFFF"/>
        </w:rPr>
        <w:t>. The rate of new diagnoses per 100,000 residents was </w:t>
      </w:r>
      <w:r w:rsidRPr="00330755">
        <w:rPr>
          <w:rStyle w:val="dynamic"/>
          <w:rFonts w:ascii="Arial" w:hAnsi="Arial" w:cs="Arial"/>
          <w:color w:val="222222"/>
          <w:sz w:val="28"/>
          <w:szCs w:val="28"/>
        </w:rPr>
        <w:t>2.2</w:t>
      </w:r>
      <w:r w:rsidRPr="00330755">
        <w:rPr>
          <w:rFonts w:ascii="Arial" w:hAnsi="Arial" w:cs="Arial"/>
          <w:color w:val="222222"/>
          <w:sz w:val="28"/>
          <w:szCs w:val="28"/>
          <w:shd w:val="clear" w:color="auto" w:fill="FFFFFF"/>
        </w:rPr>
        <w:t>, </w:t>
      </w:r>
      <w:proofErr w:type="gramStart"/>
      <w:r w:rsidRPr="00330755">
        <w:rPr>
          <w:rStyle w:val="dynamic"/>
          <w:rFonts w:ascii="Arial" w:hAnsi="Arial" w:cs="Arial"/>
          <w:color w:val="222222"/>
          <w:sz w:val="28"/>
          <w:szCs w:val="28"/>
        </w:rPr>
        <w:t>similar to</w:t>
      </w:r>
      <w:proofErr w:type="gramEnd"/>
      <w:r w:rsidRPr="00330755">
        <w:rPr>
          <w:rFonts w:ascii="Arial" w:hAnsi="Arial" w:cs="Arial"/>
          <w:color w:val="222222"/>
          <w:sz w:val="28"/>
          <w:szCs w:val="28"/>
          <w:shd w:val="clear" w:color="auto" w:fill="FFFFFF"/>
        </w:rPr>
        <w:t> the rate of </w:t>
      </w:r>
      <w:r w:rsidRPr="00330755">
        <w:rPr>
          <w:rStyle w:val="dynamic"/>
          <w:rFonts w:ascii="Arial" w:hAnsi="Arial" w:cs="Arial"/>
          <w:color w:val="222222"/>
          <w:sz w:val="28"/>
          <w:szCs w:val="28"/>
        </w:rPr>
        <w:t>4.3</w:t>
      </w:r>
      <w:r w:rsidRPr="00330755">
        <w:rPr>
          <w:rFonts w:ascii="Arial" w:hAnsi="Arial" w:cs="Arial"/>
          <w:color w:val="222222"/>
          <w:sz w:val="28"/>
          <w:szCs w:val="28"/>
          <w:shd w:val="clear" w:color="auto" w:fill="FFFFFF"/>
        </w:rPr>
        <w:t> per 100,000 in England.</w:t>
      </w:r>
      <w:r w:rsidR="008B4319">
        <w:rPr>
          <w:rFonts w:ascii="Arial" w:hAnsi="Arial" w:cs="Arial"/>
          <w:color w:val="222222"/>
          <w:sz w:val="28"/>
          <w:szCs w:val="28"/>
          <w:shd w:val="clear" w:color="auto" w:fill="FFFFFF"/>
        </w:rPr>
        <w:t xml:space="preserve"> </w:t>
      </w:r>
      <w:r w:rsidRPr="00330755">
        <w:rPr>
          <w:rFonts w:ascii="Arial" w:hAnsi="Arial" w:cs="Arial"/>
          <w:color w:val="222222"/>
          <w:sz w:val="28"/>
          <w:szCs w:val="28"/>
          <w:shd w:val="clear" w:color="auto" w:fill="FFFFFF"/>
        </w:rPr>
        <w:t>This represented a </w:t>
      </w:r>
      <w:r w:rsidRPr="00330755">
        <w:rPr>
          <w:rStyle w:val="dynamic"/>
          <w:rFonts w:ascii="Arial" w:hAnsi="Arial" w:cs="Arial"/>
          <w:color w:val="222222"/>
          <w:sz w:val="28"/>
          <w:szCs w:val="28"/>
        </w:rPr>
        <w:t>20%</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decrease</w:t>
      </w:r>
      <w:r w:rsidRPr="00330755">
        <w:rPr>
          <w:rFonts w:ascii="Arial" w:hAnsi="Arial" w:cs="Arial"/>
          <w:color w:val="222222"/>
          <w:sz w:val="28"/>
          <w:szCs w:val="28"/>
          <w:shd w:val="clear" w:color="auto" w:fill="FFFFFF"/>
        </w:rPr>
        <w:t> since </w:t>
      </w:r>
      <w:r w:rsidRPr="00330755">
        <w:rPr>
          <w:rStyle w:val="dynamic"/>
          <w:rFonts w:ascii="Arial" w:hAnsi="Arial" w:cs="Arial"/>
          <w:color w:val="222222"/>
          <w:sz w:val="28"/>
          <w:szCs w:val="28"/>
        </w:rPr>
        <w:t>2019</w:t>
      </w:r>
      <w:r w:rsidRPr="00330755">
        <w:rPr>
          <w:rFonts w:ascii="Arial" w:hAnsi="Arial" w:cs="Arial"/>
          <w:color w:val="222222"/>
          <w:sz w:val="28"/>
          <w:szCs w:val="28"/>
          <w:shd w:val="clear" w:color="auto" w:fill="FFFFFF"/>
        </w:rPr>
        <w:t> and a </w:t>
      </w:r>
      <w:r w:rsidRPr="00330755">
        <w:rPr>
          <w:rStyle w:val="dynamic"/>
          <w:rFonts w:ascii="Arial" w:hAnsi="Arial" w:cs="Arial"/>
          <w:color w:val="222222"/>
          <w:sz w:val="28"/>
          <w:szCs w:val="28"/>
        </w:rPr>
        <w:t>68%</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decrease</w:t>
      </w:r>
      <w:r w:rsidRPr="00330755">
        <w:rPr>
          <w:rFonts w:ascii="Arial" w:hAnsi="Arial" w:cs="Arial"/>
          <w:color w:val="222222"/>
          <w:sz w:val="28"/>
          <w:szCs w:val="28"/>
          <w:shd w:val="clear" w:color="auto" w:fill="FFFFFF"/>
        </w:rPr>
        <w:t> in the 5 years since </w:t>
      </w:r>
      <w:r w:rsidRPr="00330755">
        <w:rPr>
          <w:rStyle w:val="dynamic"/>
          <w:rFonts w:ascii="Arial" w:hAnsi="Arial" w:cs="Arial"/>
          <w:color w:val="222222"/>
          <w:sz w:val="28"/>
          <w:szCs w:val="28"/>
        </w:rPr>
        <w:t>2015</w:t>
      </w:r>
      <w:r w:rsidRPr="00330755">
        <w:rPr>
          <w:rFonts w:ascii="Arial" w:hAnsi="Arial" w:cs="Arial"/>
          <w:color w:val="222222"/>
          <w:sz w:val="28"/>
          <w:szCs w:val="28"/>
          <w:shd w:val="clear" w:color="auto" w:fill="FFFFFF"/>
        </w:rPr>
        <w:t>. The rank of </w:t>
      </w:r>
      <w:r w:rsidRPr="00330755">
        <w:rPr>
          <w:rStyle w:val="dynamic"/>
          <w:rFonts w:ascii="Arial" w:hAnsi="Arial" w:cs="Arial"/>
          <w:color w:val="222222"/>
          <w:sz w:val="28"/>
          <w:szCs w:val="28"/>
        </w:rPr>
        <w:t>York</w:t>
      </w:r>
      <w:r w:rsidRPr="00330755">
        <w:rPr>
          <w:rFonts w:ascii="Arial" w:hAnsi="Arial" w:cs="Arial"/>
          <w:color w:val="222222"/>
          <w:sz w:val="28"/>
          <w:szCs w:val="28"/>
          <w:shd w:val="clear" w:color="auto" w:fill="FFFFFF"/>
        </w:rPr>
        <w:t> for the rate of new HIV diagnoses was </w:t>
      </w:r>
      <w:r w:rsidRPr="00330755">
        <w:rPr>
          <w:rStyle w:val="dynamic"/>
          <w:rFonts w:ascii="Arial" w:hAnsi="Arial" w:cs="Arial"/>
          <w:color w:val="222222"/>
          <w:sz w:val="28"/>
          <w:szCs w:val="28"/>
        </w:rPr>
        <w:t>110th highest</w:t>
      </w:r>
      <w:r w:rsidRPr="00330755">
        <w:rPr>
          <w:rFonts w:ascii="Arial" w:hAnsi="Arial" w:cs="Arial"/>
          <w:color w:val="222222"/>
          <w:sz w:val="28"/>
          <w:szCs w:val="28"/>
          <w:shd w:val="clear" w:color="auto" w:fill="FFFFFF"/>
        </w:rPr>
        <w:t> (out of </w:t>
      </w:r>
      <w:r w:rsidRPr="00330755">
        <w:rPr>
          <w:rStyle w:val="dynamic"/>
          <w:rFonts w:ascii="Arial" w:hAnsi="Arial" w:cs="Arial"/>
          <w:color w:val="222222"/>
          <w:sz w:val="28"/>
          <w:szCs w:val="28"/>
        </w:rPr>
        <w:t>148</w:t>
      </w:r>
      <w:r w:rsidRPr="00330755">
        <w:rPr>
          <w:rFonts w:ascii="Arial" w:hAnsi="Arial" w:cs="Arial"/>
          <w:color w:val="222222"/>
          <w:sz w:val="28"/>
          <w:szCs w:val="28"/>
          <w:shd w:val="clear" w:color="auto" w:fill="FFFFFF"/>
        </w:rPr>
        <w:t> UTLAs/UAs).</w:t>
      </w:r>
    </w:p>
    <w:p w14:paraId="2AC382DF" w14:textId="77777777" w:rsidR="00DD7D30" w:rsidRDefault="00DD7D30" w:rsidP="00B777CD">
      <w:pPr>
        <w:jc w:val="both"/>
        <w:rPr>
          <w:rFonts w:ascii="Arial" w:hAnsi="Arial" w:cs="Arial"/>
          <w:color w:val="222222"/>
          <w:sz w:val="28"/>
          <w:szCs w:val="28"/>
          <w:shd w:val="clear" w:color="auto" w:fill="FFFFFF"/>
        </w:rPr>
      </w:pPr>
    </w:p>
    <w:p w14:paraId="3F647BD4" w14:textId="708B166A" w:rsidR="00DD7D30" w:rsidRPr="009369EF" w:rsidRDefault="00DD7D30" w:rsidP="00B777CD">
      <w:pPr>
        <w:pStyle w:val="Heading3"/>
        <w:jc w:val="both"/>
        <w:rPr>
          <w:shd w:val="clear" w:color="auto" w:fill="FFFFFF"/>
        </w:rPr>
      </w:pPr>
      <w:bookmarkStart w:id="43" w:name="_Toc124346952"/>
      <w:r>
        <w:rPr>
          <w:shd w:val="clear" w:color="auto" w:fill="FFFFFF"/>
        </w:rPr>
        <w:lastRenderedPageBreak/>
        <w:t>4.10 Late HIV Diagnosis</w:t>
      </w:r>
      <w:bookmarkEnd w:id="43"/>
    </w:p>
    <w:p w14:paraId="0CEF4325" w14:textId="77777777" w:rsidR="00DD7D30" w:rsidRDefault="00DD7D30" w:rsidP="00B777CD">
      <w:pPr>
        <w:jc w:val="both"/>
        <w:rPr>
          <w:rFonts w:ascii="Arial" w:hAnsi="Arial" w:cs="Arial"/>
          <w:sz w:val="28"/>
          <w:szCs w:val="28"/>
        </w:rPr>
      </w:pPr>
      <w:r w:rsidRPr="00330755">
        <w:rPr>
          <w:rFonts w:ascii="Arial" w:hAnsi="Arial" w:cs="Arial"/>
          <w:sz w:val="28"/>
          <w:szCs w:val="28"/>
        </w:rPr>
        <w:t xml:space="preserve">Late diagnosis </w:t>
      </w:r>
      <w:r>
        <w:rPr>
          <w:rFonts w:ascii="Arial" w:hAnsi="Arial" w:cs="Arial"/>
          <w:sz w:val="28"/>
          <w:szCs w:val="28"/>
        </w:rPr>
        <w:t>is an extremely important predictor of HIV-related morbidity and mortality. Late diagnosis is defined as having a CD4 count of &lt;350 dells/mm</w:t>
      </w:r>
      <w:r w:rsidRPr="00330755">
        <w:rPr>
          <w:rFonts w:ascii="Arial" w:hAnsi="Arial" w:cs="Arial"/>
          <w:sz w:val="28"/>
          <w:szCs w:val="28"/>
          <w:vertAlign w:val="superscript"/>
        </w:rPr>
        <w:t>3</w:t>
      </w:r>
      <w:r>
        <w:rPr>
          <w:rFonts w:ascii="Arial" w:hAnsi="Arial" w:cs="Arial"/>
          <w:sz w:val="28"/>
          <w:szCs w:val="28"/>
        </w:rPr>
        <w:t xml:space="preserve"> within 91 days of first HIV diagnosis in the UK.  This is a PHOF indicator whereby monitoring is essential to evaluate HIV testing efforts.</w:t>
      </w:r>
    </w:p>
    <w:p w14:paraId="51EF8EB9" w14:textId="77777777" w:rsidR="00DD7D30" w:rsidRDefault="00DD7D30" w:rsidP="00B777CD">
      <w:pPr>
        <w:jc w:val="both"/>
        <w:rPr>
          <w:rFonts w:ascii="Arial" w:hAnsi="Arial" w:cs="Arial"/>
          <w:color w:val="222222"/>
          <w:sz w:val="28"/>
          <w:szCs w:val="28"/>
          <w:shd w:val="clear" w:color="auto" w:fill="FFFFFF"/>
        </w:rPr>
      </w:pPr>
      <w:r w:rsidRPr="00330755">
        <w:rPr>
          <w:rFonts w:ascii="Arial" w:hAnsi="Arial" w:cs="Arial"/>
          <w:color w:val="222222"/>
          <w:sz w:val="28"/>
          <w:szCs w:val="28"/>
          <w:shd w:val="clear" w:color="auto" w:fill="FFFFFF"/>
        </w:rPr>
        <w:t>For </w:t>
      </w:r>
      <w:r w:rsidRPr="00330755">
        <w:rPr>
          <w:rStyle w:val="dynamic"/>
          <w:rFonts w:ascii="Arial" w:hAnsi="Arial" w:cs="Arial"/>
          <w:color w:val="222222"/>
          <w:sz w:val="28"/>
          <w:szCs w:val="28"/>
        </w:rPr>
        <w:t>York</w:t>
      </w:r>
      <w:r w:rsidRPr="00330755">
        <w:rPr>
          <w:rFonts w:ascii="Arial" w:hAnsi="Arial" w:cs="Arial"/>
          <w:color w:val="222222"/>
          <w:sz w:val="28"/>
          <w:szCs w:val="28"/>
          <w:shd w:val="clear" w:color="auto" w:fill="FFFFFF"/>
        </w:rPr>
        <w:t> residents, the percentage of HIV diagnoses made at a late stage of infection for different risk groups in the three-year period between </w:t>
      </w:r>
      <w:r w:rsidRPr="00330755">
        <w:rPr>
          <w:rStyle w:val="dynamic"/>
          <w:rFonts w:ascii="Arial" w:hAnsi="Arial" w:cs="Arial"/>
          <w:color w:val="222222"/>
          <w:sz w:val="28"/>
          <w:szCs w:val="28"/>
        </w:rPr>
        <w:t>2018 - 20</w:t>
      </w:r>
      <w:r w:rsidRPr="00330755">
        <w:rPr>
          <w:rFonts w:ascii="Arial" w:hAnsi="Arial" w:cs="Arial"/>
          <w:color w:val="222222"/>
          <w:sz w:val="28"/>
          <w:szCs w:val="28"/>
          <w:shd w:val="clear" w:color="auto" w:fill="FFFFFF"/>
        </w:rPr>
        <w:t> was as follows: MSM - </w:t>
      </w:r>
      <w:r w:rsidRPr="00330755">
        <w:rPr>
          <w:rStyle w:val="dynamic"/>
          <w:rFonts w:ascii="Arial" w:hAnsi="Arial" w:cs="Arial"/>
          <w:color w:val="222222"/>
          <w:sz w:val="28"/>
          <w:szCs w:val="28"/>
        </w:rPr>
        <w:t>40.0%</w:t>
      </w:r>
      <w:r w:rsidRPr="00330755">
        <w:rPr>
          <w:rFonts w:ascii="Arial" w:hAnsi="Arial" w:cs="Arial"/>
          <w:color w:val="222222"/>
          <w:sz w:val="28"/>
          <w:szCs w:val="28"/>
          <w:shd w:val="clear" w:color="auto" w:fill="FFFFFF"/>
        </w:rPr>
        <w:t>, </w:t>
      </w:r>
      <w:proofErr w:type="gramStart"/>
      <w:r w:rsidRPr="00330755">
        <w:rPr>
          <w:rStyle w:val="dynamic"/>
          <w:rFonts w:ascii="Arial" w:hAnsi="Arial" w:cs="Arial"/>
          <w:color w:val="222222"/>
          <w:sz w:val="28"/>
          <w:szCs w:val="28"/>
        </w:rPr>
        <w:t>similar to</w:t>
      </w:r>
      <w:proofErr w:type="gramEnd"/>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33.7</w:t>
      </w:r>
      <w:r w:rsidRPr="00330755">
        <w:rPr>
          <w:rFonts w:ascii="Arial" w:hAnsi="Arial" w:cs="Arial"/>
          <w:color w:val="222222"/>
          <w:sz w:val="28"/>
          <w:szCs w:val="28"/>
          <w:shd w:val="clear" w:color="auto" w:fill="FFFFFF"/>
        </w:rPr>
        <w:t>% in England; heterosexual men - </w:t>
      </w:r>
      <w:r w:rsidRPr="00330755">
        <w:rPr>
          <w:rStyle w:val="dynamic"/>
          <w:rFonts w:ascii="Arial" w:hAnsi="Arial" w:cs="Arial"/>
          <w:color w:val="222222"/>
          <w:sz w:val="28"/>
          <w:szCs w:val="28"/>
        </w:rPr>
        <w:t>50.0%</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similar to</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55.6</w:t>
      </w:r>
      <w:r w:rsidRPr="00330755">
        <w:rPr>
          <w:rFonts w:ascii="Arial" w:hAnsi="Arial" w:cs="Arial"/>
          <w:color w:val="222222"/>
          <w:sz w:val="28"/>
          <w:szCs w:val="28"/>
          <w:shd w:val="clear" w:color="auto" w:fill="FFFFFF"/>
        </w:rPr>
        <w:t>% in England; heterosexual women - </w:t>
      </w:r>
      <w:r w:rsidRPr="00330755">
        <w:rPr>
          <w:rStyle w:val="dynamic"/>
          <w:rFonts w:ascii="Arial" w:hAnsi="Arial" w:cs="Arial"/>
          <w:color w:val="222222"/>
          <w:sz w:val="28"/>
          <w:szCs w:val="28"/>
        </w:rPr>
        <w:t>100%</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similar to</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46.8</w:t>
      </w:r>
      <w:r w:rsidRPr="00330755">
        <w:rPr>
          <w:rFonts w:ascii="Arial" w:hAnsi="Arial" w:cs="Arial"/>
          <w:color w:val="222222"/>
          <w:sz w:val="28"/>
          <w:szCs w:val="28"/>
          <w:shd w:val="clear" w:color="auto" w:fill="FFFFFF"/>
        </w:rPr>
        <w:t>% in England.</w:t>
      </w:r>
    </w:p>
    <w:p w14:paraId="6E433675" w14:textId="77777777" w:rsidR="00DD7D30" w:rsidRDefault="00DD7D30" w:rsidP="00B777CD">
      <w:pPr>
        <w:jc w:val="both"/>
        <w:rPr>
          <w:rFonts w:ascii="Arial" w:hAnsi="Arial" w:cs="Arial"/>
          <w:color w:val="222222"/>
          <w:sz w:val="28"/>
          <w:szCs w:val="28"/>
          <w:shd w:val="clear" w:color="auto" w:fill="FFFFFF"/>
        </w:rPr>
      </w:pPr>
    </w:p>
    <w:p w14:paraId="238D0BE2" w14:textId="77777777" w:rsidR="00DD7D30" w:rsidRDefault="00DD7D30" w:rsidP="00B777CD">
      <w:pPr>
        <w:pStyle w:val="Heading2"/>
        <w:jc w:val="both"/>
      </w:pPr>
      <w:bookmarkStart w:id="44" w:name="_Toc124346953"/>
      <w:r>
        <w:t>4.11 HIV Testing</w:t>
      </w:r>
      <w:bookmarkEnd w:id="44"/>
    </w:p>
    <w:p w14:paraId="28D15D01" w14:textId="72CC0BBA" w:rsidR="00DD7D30" w:rsidRPr="008B4319" w:rsidRDefault="00DD7D30" w:rsidP="00B777CD">
      <w:pPr>
        <w:jc w:val="both"/>
        <w:rPr>
          <w:rFonts w:ascii="Arial" w:hAnsi="Arial" w:cs="Arial"/>
          <w:color w:val="222222"/>
          <w:sz w:val="28"/>
          <w:szCs w:val="28"/>
          <w:shd w:val="clear" w:color="auto" w:fill="FFFFFF"/>
        </w:rPr>
      </w:pPr>
      <w:r w:rsidRPr="00330755">
        <w:rPr>
          <w:rFonts w:ascii="Arial" w:hAnsi="Arial" w:cs="Arial"/>
          <w:color w:val="222222"/>
          <w:sz w:val="28"/>
          <w:szCs w:val="28"/>
          <w:shd w:val="clear" w:color="auto" w:fill="FFFFFF"/>
        </w:rPr>
        <w:t>In </w:t>
      </w:r>
      <w:r w:rsidRPr="00330755">
        <w:rPr>
          <w:rStyle w:val="dynamic"/>
          <w:rFonts w:ascii="Arial" w:hAnsi="Arial" w:cs="Arial"/>
          <w:color w:val="222222"/>
          <w:sz w:val="28"/>
          <w:szCs w:val="28"/>
        </w:rPr>
        <w:t>2020</w:t>
      </w:r>
      <w:r w:rsidRPr="00330755">
        <w:rPr>
          <w:rFonts w:ascii="Arial" w:hAnsi="Arial" w:cs="Arial"/>
          <w:color w:val="222222"/>
          <w:sz w:val="28"/>
          <w:szCs w:val="28"/>
          <w:shd w:val="clear" w:color="auto" w:fill="FFFFFF"/>
        </w:rPr>
        <w:t>, among </w:t>
      </w:r>
      <w:r w:rsidRPr="00330755">
        <w:rPr>
          <w:rStyle w:val="dynamic"/>
          <w:rFonts w:ascii="Arial" w:hAnsi="Arial" w:cs="Arial"/>
          <w:color w:val="222222"/>
          <w:sz w:val="28"/>
          <w:szCs w:val="28"/>
        </w:rPr>
        <w:t>York</w:t>
      </w:r>
      <w:r w:rsidRPr="00330755">
        <w:rPr>
          <w:rFonts w:ascii="Arial" w:hAnsi="Arial" w:cs="Arial"/>
          <w:color w:val="222222"/>
          <w:sz w:val="28"/>
          <w:szCs w:val="28"/>
          <w:shd w:val="clear" w:color="auto" w:fill="FFFFFF"/>
        </w:rPr>
        <w:t> residents, the percentage of eligible SHS attendees who received an HIV test was </w:t>
      </w:r>
      <w:r w:rsidRPr="00330755">
        <w:rPr>
          <w:rStyle w:val="dynamic"/>
          <w:rFonts w:ascii="Arial" w:hAnsi="Arial" w:cs="Arial"/>
          <w:color w:val="222222"/>
          <w:sz w:val="28"/>
          <w:szCs w:val="28"/>
        </w:rPr>
        <w:t>59.8%</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better than</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46.0</w:t>
      </w:r>
      <w:r w:rsidRPr="00330755">
        <w:rPr>
          <w:rFonts w:ascii="Arial" w:hAnsi="Arial" w:cs="Arial"/>
          <w:color w:val="222222"/>
          <w:sz w:val="28"/>
          <w:szCs w:val="28"/>
          <w:shd w:val="clear" w:color="auto" w:fill="FFFFFF"/>
        </w:rPr>
        <w:t>% for England. This represente</w:t>
      </w:r>
      <w:r w:rsidR="008B4319">
        <w:rPr>
          <w:rFonts w:ascii="Arial" w:hAnsi="Arial" w:cs="Arial"/>
          <w:color w:val="222222"/>
          <w:sz w:val="28"/>
          <w:szCs w:val="28"/>
          <w:shd w:val="clear" w:color="auto" w:fill="FFFFFF"/>
        </w:rPr>
        <w:t>d</w:t>
      </w:r>
      <w:r w:rsidR="00B777CD">
        <w:rPr>
          <w:rFonts w:ascii="Arial" w:hAnsi="Arial" w:cs="Arial"/>
          <w:color w:val="222222"/>
          <w:sz w:val="28"/>
          <w:szCs w:val="28"/>
          <w:shd w:val="clear" w:color="auto" w:fill="FFFFFF"/>
        </w:rPr>
        <w:t xml:space="preserve"> </w:t>
      </w:r>
      <w:r w:rsidRPr="00330755">
        <w:rPr>
          <w:rFonts w:ascii="Arial" w:hAnsi="Arial" w:cs="Arial"/>
          <w:color w:val="222222"/>
          <w:sz w:val="28"/>
          <w:szCs w:val="28"/>
          <w:shd w:val="clear" w:color="auto" w:fill="FFFFFF"/>
        </w:rPr>
        <w:t>a </w:t>
      </w:r>
      <w:r w:rsidRPr="00330755">
        <w:rPr>
          <w:rStyle w:val="dynamic"/>
          <w:rFonts w:ascii="Arial" w:hAnsi="Arial" w:cs="Arial"/>
          <w:color w:val="222222"/>
          <w:sz w:val="28"/>
          <w:szCs w:val="28"/>
        </w:rPr>
        <w:t>11%</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decrease</w:t>
      </w:r>
      <w:r w:rsidRPr="00330755">
        <w:rPr>
          <w:rFonts w:ascii="Arial" w:hAnsi="Arial" w:cs="Arial"/>
          <w:color w:val="222222"/>
          <w:sz w:val="28"/>
          <w:szCs w:val="28"/>
          <w:shd w:val="clear" w:color="auto" w:fill="FFFFFF"/>
        </w:rPr>
        <w:t> since </w:t>
      </w:r>
      <w:r w:rsidRPr="00330755">
        <w:rPr>
          <w:rStyle w:val="dynamic"/>
          <w:rFonts w:ascii="Arial" w:hAnsi="Arial" w:cs="Arial"/>
          <w:color w:val="222222"/>
          <w:sz w:val="28"/>
          <w:szCs w:val="28"/>
        </w:rPr>
        <w:t>2019</w:t>
      </w:r>
      <w:r w:rsidRPr="00330755">
        <w:rPr>
          <w:rFonts w:ascii="Arial" w:hAnsi="Arial" w:cs="Arial"/>
          <w:color w:val="222222"/>
          <w:sz w:val="28"/>
          <w:szCs w:val="28"/>
          <w:shd w:val="clear" w:color="auto" w:fill="FFFFFF"/>
        </w:rPr>
        <w:t>, and a </w:t>
      </w:r>
      <w:r w:rsidRPr="00330755">
        <w:rPr>
          <w:rStyle w:val="dynamic"/>
          <w:rFonts w:ascii="Arial" w:hAnsi="Arial" w:cs="Arial"/>
          <w:color w:val="222222"/>
          <w:sz w:val="28"/>
          <w:szCs w:val="28"/>
        </w:rPr>
        <w:t>21%</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increase</w:t>
      </w:r>
      <w:r w:rsidRPr="00330755">
        <w:rPr>
          <w:rFonts w:ascii="Arial" w:hAnsi="Arial" w:cs="Arial"/>
          <w:color w:val="222222"/>
          <w:sz w:val="28"/>
          <w:szCs w:val="28"/>
          <w:shd w:val="clear" w:color="auto" w:fill="FFFFFF"/>
        </w:rPr>
        <w:t> since </w:t>
      </w:r>
      <w:r w:rsidRPr="00330755">
        <w:rPr>
          <w:rStyle w:val="dynamic"/>
          <w:rFonts w:ascii="Arial" w:hAnsi="Arial" w:cs="Arial"/>
          <w:color w:val="222222"/>
          <w:sz w:val="28"/>
          <w:szCs w:val="28"/>
        </w:rPr>
        <w:t>2015</w:t>
      </w:r>
      <w:r w:rsidRPr="00330755">
        <w:rPr>
          <w:rFonts w:ascii="Arial" w:hAnsi="Arial" w:cs="Arial"/>
          <w:color w:val="222222"/>
          <w:sz w:val="28"/>
          <w:szCs w:val="28"/>
          <w:shd w:val="clear" w:color="auto" w:fill="FFFFFF"/>
        </w:rPr>
        <w:t>. For </w:t>
      </w:r>
      <w:r w:rsidRPr="00330755">
        <w:rPr>
          <w:rStyle w:val="dynamic"/>
          <w:rFonts w:ascii="Arial" w:hAnsi="Arial" w:cs="Arial"/>
          <w:color w:val="222222"/>
          <w:sz w:val="28"/>
          <w:szCs w:val="28"/>
        </w:rPr>
        <w:t>2020</w:t>
      </w:r>
      <w:r w:rsidRPr="00330755">
        <w:rPr>
          <w:rFonts w:ascii="Arial" w:hAnsi="Arial" w:cs="Arial"/>
          <w:color w:val="222222"/>
          <w:sz w:val="28"/>
          <w:szCs w:val="28"/>
          <w:shd w:val="clear" w:color="auto" w:fill="FFFFFF"/>
        </w:rPr>
        <w:t>, the percentage of MSM in </w:t>
      </w:r>
      <w:r w:rsidRPr="00330755">
        <w:rPr>
          <w:rStyle w:val="dynamic"/>
          <w:rFonts w:ascii="Arial" w:hAnsi="Arial" w:cs="Arial"/>
          <w:color w:val="222222"/>
          <w:sz w:val="28"/>
          <w:szCs w:val="28"/>
        </w:rPr>
        <w:t>York</w:t>
      </w:r>
      <w:r w:rsidRPr="00330755">
        <w:rPr>
          <w:rFonts w:ascii="Arial" w:hAnsi="Arial" w:cs="Arial"/>
          <w:color w:val="222222"/>
          <w:sz w:val="28"/>
          <w:szCs w:val="28"/>
          <w:shd w:val="clear" w:color="auto" w:fill="FFFFFF"/>
        </w:rPr>
        <w:t> who had tested more than once in the previous year was </w:t>
      </w:r>
      <w:r w:rsidRPr="00330755">
        <w:rPr>
          <w:rStyle w:val="dynamic"/>
          <w:rFonts w:ascii="Arial" w:hAnsi="Arial" w:cs="Arial"/>
          <w:color w:val="222222"/>
          <w:sz w:val="28"/>
          <w:szCs w:val="28"/>
        </w:rPr>
        <w:t>43.3%</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worse than</w:t>
      </w:r>
      <w:r w:rsidRPr="00330755">
        <w:rPr>
          <w:rFonts w:ascii="Arial" w:hAnsi="Arial" w:cs="Arial"/>
          <w:color w:val="222222"/>
          <w:sz w:val="28"/>
          <w:szCs w:val="28"/>
          <w:shd w:val="clear" w:color="auto" w:fill="FFFFFF"/>
        </w:rPr>
        <w:t> </w:t>
      </w:r>
      <w:r w:rsidRPr="00330755">
        <w:rPr>
          <w:rStyle w:val="dynamic"/>
          <w:rFonts w:ascii="Arial" w:hAnsi="Arial" w:cs="Arial"/>
          <w:color w:val="222222"/>
          <w:sz w:val="28"/>
          <w:szCs w:val="28"/>
        </w:rPr>
        <w:t>52.0</w:t>
      </w:r>
      <w:r w:rsidRPr="00330755">
        <w:rPr>
          <w:rFonts w:ascii="Arial" w:hAnsi="Arial" w:cs="Arial"/>
          <w:color w:val="222222"/>
          <w:sz w:val="28"/>
          <w:szCs w:val="28"/>
          <w:shd w:val="clear" w:color="auto" w:fill="FFFFFF"/>
        </w:rPr>
        <w:t>% in England.</w:t>
      </w:r>
    </w:p>
    <w:p w14:paraId="02E9A671" w14:textId="77777777" w:rsidR="00DD7D30" w:rsidRDefault="00DD7D30" w:rsidP="00B777CD">
      <w:pPr>
        <w:jc w:val="both"/>
        <w:rPr>
          <w:rFonts w:ascii="Arial" w:hAnsi="Arial" w:cs="Arial"/>
          <w:sz w:val="28"/>
          <w:szCs w:val="28"/>
        </w:rPr>
      </w:pPr>
    </w:p>
    <w:p w14:paraId="58A2DD92" w14:textId="77777777" w:rsidR="00DD7D30" w:rsidRPr="009B1EF5" w:rsidRDefault="00DD7D30" w:rsidP="00B777CD">
      <w:pPr>
        <w:pStyle w:val="Heading3"/>
        <w:jc w:val="both"/>
      </w:pPr>
      <w:bookmarkStart w:id="45" w:name="_Toc121996496"/>
      <w:bookmarkStart w:id="46" w:name="_Toc124346954"/>
      <w:r>
        <w:t xml:space="preserve">4.12 </w:t>
      </w:r>
      <w:proofErr w:type="spellStart"/>
      <w:r>
        <w:t>Mpox</w:t>
      </w:r>
      <w:bookmarkEnd w:id="45"/>
      <w:bookmarkEnd w:id="46"/>
      <w:proofErr w:type="spellEnd"/>
      <w:r>
        <w:t xml:space="preserve"> </w:t>
      </w:r>
    </w:p>
    <w:p w14:paraId="7B1AFD6F" w14:textId="77777777" w:rsidR="00DD7D30" w:rsidRDefault="00DD7D30" w:rsidP="00B777CD">
      <w:pPr>
        <w:jc w:val="both"/>
        <w:rPr>
          <w:rFonts w:ascii="Arial" w:hAnsi="Arial" w:cs="Arial"/>
          <w:sz w:val="28"/>
          <w:szCs w:val="28"/>
        </w:rPr>
      </w:pPr>
      <w:proofErr w:type="spellStart"/>
      <w:r>
        <w:rPr>
          <w:rFonts w:ascii="Arial" w:hAnsi="Arial" w:cs="Arial"/>
          <w:sz w:val="28"/>
          <w:szCs w:val="28"/>
        </w:rPr>
        <w:t>Mpox</w:t>
      </w:r>
      <w:proofErr w:type="spellEnd"/>
      <w:r>
        <w:rPr>
          <w:rFonts w:ascii="Arial" w:hAnsi="Arial" w:cs="Arial"/>
          <w:sz w:val="28"/>
          <w:szCs w:val="28"/>
        </w:rPr>
        <w:t>, formally</w:t>
      </w:r>
      <w:r w:rsidRPr="00C40EB0">
        <w:rPr>
          <w:rFonts w:ascii="Arial" w:hAnsi="Arial" w:cs="Arial"/>
          <w:sz w:val="28"/>
          <w:szCs w:val="28"/>
        </w:rPr>
        <w:t xml:space="preserve"> known as m</w:t>
      </w:r>
      <w:r>
        <w:rPr>
          <w:rFonts w:ascii="Arial" w:hAnsi="Arial" w:cs="Arial"/>
          <w:sz w:val="28"/>
          <w:szCs w:val="28"/>
        </w:rPr>
        <w:t>onkeypox is a zoonotic infection caused by the monkeypox virus</w:t>
      </w:r>
      <w:r>
        <w:rPr>
          <w:rStyle w:val="FootnoteReference"/>
          <w:rFonts w:ascii="Arial" w:hAnsi="Arial" w:cs="Arial"/>
          <w:sz w:val="28"/>
          <w:szCs w:val="28"/>
        </w:rPr>
        <w:footnoteReference w:id="18"/>
      </w:r>
      <w:r>
        <w:rPr>
          <w:rFonts w:ascii="Arial" w:hAnsi="Arial" w:cs="Arial"/>
          <w:sz w:val="28"/>
          <w:szCs w:val="28"/>
        </w:rPr>
        <w:t xml:space="preserve">. Since 6 May 2022, </w:t>
      </w:r>
      <w:proofErr w:type="spellStart"/>
      <w:r>
        <w:rPr>
          <w:rFonts w:ascii="Arial" w:hAnsi="Arial" w:cs="Arial"/>
          <w:sz w:val="28"/>
          <w:szCs w:val="28"/>
        </w:rPr>
        <w:t>Mpox</w:t>
      </w:r>
      <w:proofErr w:type="spellEnd"/>
      <w:r>
        <w:rPr>
          <w:rFonts w:ascii="Arial" w:hAnsi="Arial" w:cs="Arial"/>
          <w:sz w:val="28"/>
          <w:szCs w:val="28"/>
        </w:rPr>
        <w:t xml:space="preserve"> in the UK has been declared as a Public Health Emergency of International Concern (PHEIC). Cases have occurred mainly in West and Central Africa however there have been reports of incidence in the UK prior to 2022. These cases had either been imported from countries where monkeypox is endemic or were contacts of people with links to imported cases. Whilst it is not a sexually transmitted infection, the main route of transmission in UK cases has been through sexual contact, observed mostly in gay, bisexual, and men who have sex with men with no documented history of travel to endemic countries. </w:t>
      </w:r>
    </w:p>
    <w:p w14:paraId="55798289" w14:textId="3DFE120B" w:rsidR="00DD7D30" w:rsidRDefault="00DD7D30" w:rsidP="00B777CD">
      <w:pPr>
        <w:jc w:val="both"/>
        <w:rPr>
          <w:rFonts w:ascii="Arial" w:hAnsi="Arial" w:cs="Arial"/>
          <w:sz w:val="28"/>
          <w:szCs w:val="28"/>
        </w:rPr>
      </w:pPr>
      <w:r>
        <w:rPr>
          <w:rFonts w:ascii="Arial" w:hAnsi="Arial" w:cs="Arial"/>
          <w:sz w:val="28"/>
          <w:szCs w:val="28"/>
        </w:rPr>
        <w:t xml:space="preserve">The current epidemiological situation as of 12 December 2022 shows there have been 3,582 confirmed and 148 highly probable cases detected in the UK. 3,552 of these were in England. To date, 84 (2.4%) have </w:t>
      </w:r>
      <w:r>
        <w:rPr>
          <w:rFonts w:ascii="Arial" w:hAnsi="Arial" w:cs="Arial"/>
          <w:sz w:val="28"/>
          <w:szCs w:val="28"/>
        </w:rPr>
        <w:lastRenderedPageBreak/>
        <w:t>occurred in Yorkshire and Humber and no new cases have been reported in Yorkshire and Humber since 10 October.</w:t>
      </w:r>
      <w:r>
        <w:rPr>
          <w:rStyle w:val="FootnoteReference"/>
          <w:rFonts w:ascii="Arial" w:hAnsi="Arial" w:cs="Arial"/>
          <w:sz w:val="28"/>
          <w:szCs w:val="28"/>
        </w:rPr>
        <w:footnoteReference w:id="19"/>
      </w:r>
      <w:r>
        <w:rPr>
          <w:rFonts w:ascii="Arial" w:hAnsi="Arial" w:cs="Arial"/>
          <w:sz w:val="28"/>
          <w:szCs w:val="28"/>
        </w:rPr>
        <w:t xml:space="preserve"> </w:t>
      </w:r>
    </w:p>
    <w:p w14:paraId="5706FAEC" w14:textId="41D52226" w:rsidR="00A43581" w:rsidRDefault="00A43581" w:rsidP="00B777CD">
      <w:pPr>
        <w:jc w:val="both"/>
        <w:rPr>
          <w:rFonts w:ascii="Arial" w:hAnsi="Arial" w:cs="Arial"/>
          <w:sz w:val="28"/>
          <w:szCs w:val="28"/>
        </w:rPr>
      </w:pPr>
    </w:p>
    <w:p w14:paraId="1C0F446F" w14:textId="297E6EA6" w:rsidR="00A43581" w:rsidRDefault="00A43581" w:rsidP="00B777CD">
      <w:pPr>
        <w:pStyle w:val="Heading3"/>
        <w:jc w:val="both"/>
      </w:pPr>
      <w:bookmarkStart w:id="47" w:name="_Toc124346955"/>
      <w:r>
        <w:t>4.13</w:t>
      </w:r>
      <w:r w:rsidRPr="00530E84">
        <w:t xml:space="preserve"> Sexual Violence</w:t>
      </w:r>
      <w:bookmarkEnd w:id="47"/>
    </w:p>
    <w:p w14:paraId="10C105FB" w14:textId="77777777" w:rsidR="00A43581" w:rsidRPr="00530E84" w:rsidRDefault="00A43581" w:rsidP="00B777CD">
      <w:pPr>
        <w:jc w:val="both"/>
      </w:pPr>
    </w:p>
    <w:p w14:paraId="580F35BD" w14:textId="77777777" w:rsidR="00A43581" w:rsidRDefault="00A43581" w:rsidP="00B777CD">
      <w:pPr>
        <w:jc w:val="both"/>
        <w:rPr>
          <w:rFonts w:ascii="Arial" w:hAnsi="Arial" w:cs="Arial"/>
          <w:sz w:val="28"/>
          <w:szCs w:val="28"/>
        </w:rPr>
      </w:pPr>
      <w:r w:rsidRPr="00530E84">
        <w:rPr>
          <w:rFonts w:ascii="Arial" w:hAnsi="Arial" w:cs="Arial"/>
          <w:sz w:val="28"/>
          <w:szCs w:val="28"/>
        </w:rPr>
        <w:t xml:space="preserve">Sexual violence </w:t>
      </w:r>
      <w:r>
        <w:rPr>
          <w:rFonts w:ascii="Arial" w:hAnsi="Arial" w:cs="Arial"/>
          <w:sz w:val="28"/>
          <w:szCs w:val="28"/>
        </w:rPr>
        <w:t>is a non-legal term that encompasses acts which range from verbal harassment and coercion to forced penetration. Sexual violence includes, but is not limited to:</w:t>
      </w:r>
    </w:p>
    <w:p w14:paraId="5A8D7F68"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Unwanted sexual advances or sexual harassment (</w:t>
      </w:r>
      <w:proofErr w:type="spellStart"/>
      <w:r>
        <w:rPr>
          <w:rFonts w:ascii="Arial" w:hAnsi="Arial" w:cs="Arial"/>
          <w:sz w:val="28"/>
          <w:szCs w:val="28"/>
        </w:rPr>
        <w:t>eg.</w:t>
      </w:r>
      <w:proofErr w:type="spellEnd"/>
      <w:r>
        <w:rPr>
          <w:rFonts w:ascii="Arial" w:hAnsi="Arial" w:cs="Arial"/>
          <w:sz w:val="28"/>
          <w:szCs w:val="28"/>
        </w:rPr>
        <w:t xml:space="preserve"> in the workplace)</w:t>
      </w:r>
    </w:p>
    <w:p w14:paraId="015D9A44"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Rape by strangers or acquaintances</w:t>
      </w:r>
    </w:p>
    <w:p w14:paraId="7EF3E23D"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Rape within marriage or a relationship</w:t>
      </w:r>
    </w:p>
    <w:p w14:paraId="6D3B3F8F"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Systematic rape or sexual slavery, trafficking</w:t>
      </w:r>
    </w:p>
    <w:p w14:paraId="15025101"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Rape and sexual abuse of children</w:t>
      </w:r>
    </w:p>
    <w:p w14:paraId="14EA572D"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“customary” forms of sexual violence, including forced marriage, wife inheritance</w:t>
      </w:r>
    </w:p>
    <w:p w14:paraId="7D1F1B95" w14:textId="77777777" w:rsidR="00A43581" w:rsidRDefault="00A43581" w:rsidP="00B777CD">
      <w:pPr>
        <w:pStyle w:val="ListParagraph"/>
        <w:numPr>
          <w:ilvl w:val="0"/>
          <w:numId w:val="19"/>
        </w:numPr>
        <w:jc w:val="both"/>
        <w:rPr>
          <w:rFonts w:ascii="Arial" w:hAnsi="Arial" w:cs="Arial"/>
          <w:sz w:val="28"/>
          <w:szCs w:val="28"/>
        </w:rPr>
      </w:pPr>
      <w:r>
        <w:rPr>
          <w:rFonts w:ascii="Arial" w:hAnsi="Arial" w:cs="Arial"/>
          <w:sz w:val="28"/>
          <w:szCs w:val="28"/>
        </w:rPr>
        <w:t>Female genital mutilation</w:t>
      </w:r>
    </w:p>
    <w:p w14:paraId="4489B6FA" w14:textId="77777777" w:rsidR="00815BD0" w:rsidRDefault="00815BD0" w:rsidP="00B777CD">
      <w:pPr>
        <w:pStyle w:val="Caption"/>
        <w:jc w:val="both"/>
      </w:pPr>
      <w:r>
        <w:rPr>
          <w:rFonts w:ascii="Arial" w:hAnsi="Arial" w:cs="Arial"/>
          <w:noProof/>
          <w:sz w:val="28"/>
          <w:szCs w:val="28"/>
        </w:rPr>
        <w:drawing>
          <wp:inline distT="0" distB="0" distL="0" distR="0" wp14:anchorId="5152DFD0" wp14:editId="10230D4C">
            <wp:extent cx="5143489" cy="3857332"/>
            <wp:effectExtent l="0" t="0" r="635"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150947" cy="3862925"/>
                    </a:xfrm>
                    <a:prstGeom prst="rect">
                      <a:avLst/>
                    </a:prstGeom>
                  </pic:spPr>
                </pic:pic>
              </a:graphicData>
            </a:graphic>
          </wp:inline>
        </w:drawing>
      </w:r>
    </w:p>
    <w:p w14:paraId="31919B4F" w14:textId="01977832" w:rsidR="00DD7D30" w:rsidRDefault="00815BD0" w:rsidP="00B777CD">
      <w:pPr>
        <w:pStyle w:val="Caption"/>
        <w:jc w:val="both"/>
      </w:pPr>
      <w:r>
        <w:t xml:space="preserve">Figure </w:t>
      </w:r>
      <w:fldSimple w:instr=" SEQ Figure \* ARABIC ">
        <w:r w:rsidR="00A401A2">
          <w:rPr>
            <w:noProof/>
          </w:rPr>
          <w:t>9</w:t>
        </w:r>
      </w:fldSimple>
      <w:r>
        <w:t>: Trend graph showing sexual offences per 1000 population in York</w:t>
      </w:r>
    </w:p>
    <w:p w14:paraId="3832ED6E" w14:textId="63DCE5D7" w:rsidR="00815BD0" w:rsidRDefault="00815BD0" w:rsidP="00B777CD">
      <w:pPr>
        <w:jc w:val="both"/>
        <w:rPr>
          <w:rFonts w:ascii="Arial" w:hAnsi="Arial" w:cs="Arial"/>
          <w:sz w:val="28"/>
          <w:szCs w:val="28"/>
        </w:rPr>
      </w:pPr>
      <w:r>
        <w:rPr>
          <w:rFonts w:ascii="Arial" w:hAnsi="Arial" w:cs="Arial"/>
          <w:sz w:val="28"/>
          <w:szCs w:val="28"/>
        </w:rPr>
        <w:lastRenderedPageBreak/>
        <w:t xml:space="preserve">Figure 9 shows that cases of sexual assault have been gradually rising </w:t>
      </w:r>
      <w:r w:rsidR="002956A6">
        <w:rPr>
          <w:rFonts w:ascii="Arial" w:hAnsi="Arial" w:cs="Arial"/>
          <w:sz w:val="28"/>
          <w:szCs w:val="28"/>
        </w:rPr>
        <w:t>in both York and nationally with York rates averaging at approximately 1.6 cases per 1000 population since 2010. Since 201 however, rates per 1000 population</w:t>
      </w:r>
      <w:r w:rsidR="0029356D">
        <w:rPr>
          <w:rFonts w:ascii="Arial" w:hAnsi="Arial" w:cs="Arial"/>
          <w:sz w:val="28"/>
          <w:szCs w:val="28"/>
        </w:rPr>
        <w:t xml:space="preserve"> have averaged 2.2. A slight drop rates from 2.3 to 1.7/1000 is seen in 2020/21 data most likely due to lockdown measures during the Covid-19 pandemic. In 2021/22, rates increased to </w:t>
      </w:r>
      <w:r w:rsidR="001140BD">
        <w:rPr>
          <w:rFonts w:ascii="Arial" w:hAnsi="Arial" w:cs="Arial"/>
          <w:sz w:val="28"/>
          <w:szCs w:val="28"/>
        </w:rPr>
        <w:t>2.5/1000</w:t>
      </w:r>
      <w:r w:rsidR="00B56577">
        <w:rPr>
          <w:rFonts w:ascii="Arial" w:hAnsi="Arial" w:cs="Arial"/>
          <w:sz w:val="28"/>
          <w:szCs w:val="28"/>
        </w:rPr>
        <w:t xml:space="preserve"> most likely due to a relaxation of lockdown rules</w:t>
      </w:r>
      <w:r w:rsidR="00B94D03">
        <w:rPr>
          <w:rFonts w:ascii="Arial" w:hAnsi="Arial" w:cs="Arial"/>
          <w:sz w:val="28"/>
          <w:szCs w:val="28"/>
        </w:rPr>
        <w:t xml:space="preserve">. </w:t>
      </w:r>
    </w:p>
    <w:p w14:paraId="2C6A49B1" w14:textId="77777777" w:rsidR="005D28E5" w:rsidRDefault="005D28E5" w:rsidP="00B777CD">
      <w:pPr>
        <w:jc w:val="both"/>
        <w:rPr>
          <w:rFonts w:ascii="Arial" w:hAnsi="Arial" w:cs="Arial"/>
          <w:sz w:val="28"/>
          <w:szCs w:val="28"/>
        </w:rPr>
      </w:pPr>
    </w:p>
    <w:p w14:paraId="0D90C26B" w14:textId="355222E7" w:rsidR="005D28E5" w:rsidRPr="005D28E5" w:rsidRDefault="005D28E5" w:rsidP="00B777CD">
      <w:pPr>
        <w:jc w:val="both"/>
        <w:rPr>
          <w:rFonts w:ascii="Arial" w:hAnsi="Arial" w:cs="Arial"/>
          <w:sz w:val="28"/>
          <w:szCs w:val="28"/>
          <w:u w:val="single"/>
        </w:rPr>
      </w:pPr>
      <w:r w:rsidRPr="005D28E5">
        <w:rPr>
          <w:rFonts w:ascii="Arial" w:hAnsi="Arial" w:cs="Arial"/>
          <w:sz w:val="28"/>
          <w:szCs w:val="28"/>
          <w:u w:val="single"/>
        </w:rPr>
        <w:t>Rape</w:t>
      </w:r>
    </w:p>
    <w:p w14:paraId="4DBBDE2A" w14:textId="77777777" w:rsidR="00A401A2" w:rsidRDefault="005D28E5" w:rsidP="00B777CD">
      <w:pPr>
        <w:jc w:val="both"/>
        <w:rPr>
          <w:rFonts w:ascii="Arial" w:hAnsi="Arial" w:cs="Arial"/>
          <w:sz w:val="28"/>
          <w:szCs w:val="28"/>
        </w:rPr>
      </w:pPr>
      <w:r>
        <w:rPr>
          <w:rFonts w:ascii="Arial" w:hAnsi="Arial" w:cs="Arial"/>
          <w:sz w:val="28"/>
          <w:szCs w:val="28"/>
        </w:rPr>
        <w:t xml:space="preserve">The Rape Monitoring Group (RMG) is a multi-agency group in England and Wales that is coordinated by His Majesty’s Inspectorate of Constabulary and Fire &amp; Rescue Services (HMICFRS). Each year, the RMG has published data that covers the three stages of the criminal justice process for rape: the report and investigation of an incident; prosecution; trial and eventual outcome. The City of York falls under the North Yorkshire Police Constabulary to which the data below pertains to. As North Yorkshire Police covers an area of approximately 3,208 square miles, this data </w:t>
      </w:r>
      <w:r w:rsidR="00A401A2">
        <w:rPr>
          <w:rFonts w:ascii="Arial" w:hAnsi="Arial" w:cs="Arial"/>
          <w:sz w:val="28"/>
          <w:szCs w:val="28"/>
        </w:rPr>
        <w:t xml:space="preserve">represents not just the City of York. </w:t>
      </w:r>
    </w:p>
    <w:p w14:paraId="288AF17E" w14:textId="77777777" w:rsidR="00A401A2" w:rsidRDefault="00A401A2" w:rsidP="00B777CD">
      <w:pPr>
        <w:jc w:val="both"/>
        <w:rPr>
          <w:rFonts w:ascii="Arial" w:hAnsi="Arial" w:cs="Arial"/>
          <w:sz w:val="28"/>
          <w:szCs w:val="28"/>
        </w:rPr>
      </w:pPr>
    </w:p>
    <w:p w14:paraId="38C96210" w14:textId="20C3C8AF" w:rsidR="00A401A2" w:rsidRPr="00A401A2" w:rsidRDefault="00A401A2" w:rsidP="00B777CD">
      <w:pPr>
        <w:jc w:val="both"/>
        <w:rPr>
          <w:rFonts w:ascii="Arial" w:hAnsi="Arial" w:cs="Arial"/>
          <w:sz w:val="28"/>
          <w:szCs w:val="28"/>
          <w:vertAlign w:val="superscript"/>
        </w:rPr>
      </w:pPr>
      <w:r>
        <w:rPr>
          <w:rFonts w:ascii="Arial" w:hAnsi="Arial" w:cs="Arial"/>
          <w:noProof/>
          <w:sz w:val="28"/>
          <w:szCs w:val="28"/>
          <w:vertAlign w:val="superscript"/>
        </w:rPr>
        <w:drawing>
          <wp:inline distT="0" distB="0" distL="0" distR="0" wp14:anchorId="577C099A" wp14:editId="24C270D0">
            <wp:extent cx="5924550" cy="3824111"/>
            <wp:effectExtent l="0" t="0" r="0" b="5080"/>
            <wp:docPr id="18" name="Picture 1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tab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31275" cy="3828451"/>
                    </a:xfrm>
                    <a:prstGeom prst="rect">
                      <a:avLst/>
                    </a:prstGeom>
                  </pic:spPr>
                </pic:pic>
              </a:graphicData>
            </a:graphic>
          </wp:inline>
        </w:drawing>
      </w:r>
      <w:r w:rsidR="005D28E5">
        <w:rPr>
          <w:rFonts w:ascii="Arial" w:hAnsi="Arial" w:cs="Arial"/>
          <w:sz w:val="28"/>
          <w:szCs w:val="28"/>
          <w:vertAlign w:val="superscript"/>
        </w:rPr>
        <w:t xml:space="preserve"> </w:t>
      </w:r>
    </w:p>
    <w:p w14:paraId="4A17178E" w14:textId="18930994" w:rsidR="005D7E13" w:rsidRDefault="00A401A2" w:rsidP="00A401A2">
      <w:pPr>
        <w:pStyle w:val="Caption"/>
      </w:pPr>
      <w:r>
        <w:t xml:space="preserve">Figure </w:t>
      </w:r>
      <w:fldSimple w:instr=" SEQ Figure \* ARABIC ">
        <w:r>
          <w:rPr>
            <w:noProof/>
          </w:rPr>
          <w:t>10</w:t>
        </w:r>
      </w:fldSimple>
      <w:r>
        <w:t>: Police-recorded rapes and incidents in North Yorkshire 2015-2020</w:t>
      </w:r>
    </w:p>
    <w:p w14:paraId="4A0E970B" w14:textId="28A871A1" w:rsidR="00A401A2" w:rsidRDefault="00A401A2" w:rsidP="00A401A2">
      <w:r>
        <w:rPr>
          <w:noProof/>
        </w:rPr>
        <w:lastRenderedPageBreak/>
        <w:drawing>
          <wp:inline distT="0" distB="0" distL="0" distR="0" wp14:anchorId="2AB3FD85" wp14:editId="7E97D785">
            <wp:extent cx="5731510" cy="3603625"/>
            <wp:effectExtent l="0" t="0" r="2540" b="0"/>
            <wp:docPr id="24" name="Picture 2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31510" cy="3603625"/>
                    </a:xfrm>
                    <a:prstGeom prst="rect">
                      <a:avLst/>
                    </a:prstGeom>
                  </pic:spPr>
                </pic:pic>
              </a:graphicData>
            </a:graphic>
          </wp:inline>
        </w:drawing>
      </w:r>
    </w:p>
    <w:p w14:paraId="611C0920" w14:textId="6CE1017B" w:rsidR="00A401A2" w:rsidRPr="00A401A2" w:rsidRDefault="00A401A2" w:rsidP="00A401A2">
      <w:pPr>
        <w:pStyle w:val="Caption"/>
      </w:pPr>
      <w:r>
        <w:t xml:space="preserve">Figure </w:t>
      </w:r>
      <w:fldSimple w:instr=" SEQ Figure \* ARABIC ">
        <w:r>
          <w:rPr>
            <w:noProof/>
          </w:rPr>
          <w:t>11</w:t>
        </w:r>
      </w:fldSimple>
      <w:r>
        <w:t>: Rape outcomes in North Yorkshire</w:t>
      </w:r>
    </w:p>
    <w:p w14:paraId="3A0001DD" w14:textId="77777777" w:rsidR="00DD7D30" w:rsidRPr="00CD65C0" w:rsidRDefault="00DD7D30" w:rsidP="00B777CD">
      <w:pPr>
        <w:pStyle w:val="Heading1"/>
        <w:jc w:val="both"/>
      </w:pPr>
      <w:bookmarkStart w:id="48" w:name="_Toc121996497"/>
      <w:bookmarkStart w:id="49" w:name="_Toc124346956"/>
      <w:r>
        <w:t xml:space="preserve">5. </w:t>
      </w:r>
      <w:r w:rsidRPr="00CD65C0">
        <w:t>Reproductive Health</w:t>
      </w:r>
      <w:bookmarkEnd w:id="48"/>
      <w:bookmarkEnd w:id="49"/>
    </w:p>
    <w:p w14:paraId="2D543ECC" w14:textId="77777777" w:rsidR="00DD7D30" w:rsidRDefault="00DD7D30" w:rsidP="00B777CD">
      <w:pPr>
        <w:jc w:val="both"/>
        <w:rPr>
          <w:rFonts w:ascii="Arial" w:hAnsi="Arial" w:cs="Arial"/>
          <w:sz w:val="28"/>
          <w:szCs w:val="28"/>
        </w:rPr>
      </w:pPr>
      <w:r>
        <w:rPr>
          <w:rFonts w:ascii="Arial" w:hAnsi="Arial" w:cs="Arial"/>
          <w:sz w:val="28"/>
          <w:szCs w:val="28"/>
        </w:rPr>
        <w:t xml:space="preserve">The pandemic had a significant impact on access to long acting reversable contraception (LARC) fitting and removals. This was mainly due to the change in requirements for face-to-face appointments, </w:t>
      </w:r>
      <w:proofErr w:type="gramStart"/>
      <w:r>
        <w:rPr>
          <w:rFonts w:ascii="Arial" w:hAnsi="Arial" w:cs="Arial"/>
          <w:sz w:val="28"/>
          <w:szCs w:val="28"/>
        </w:rPr>
        <w:t>however</w:t>
      </w:r>
      <w:proofErr w:type="gramEnd"/>
      <w:r>
        <w:rPr>
          <w:rFonts w:ascii="Arial" w:hAnsi="Arial" w:cs="Arial"/>
          <w:sz w:val="28"/>
          <w:szCs w:val="28"/>
        </w:rPr>
        <w:t xml:space="preserve"> fears around contracting COVID-19 may have also led to reluctance in seeking LARC. In March 2020, the Faculty of Sexual and Reproductive Health (FSRH) advised bridging methods to individuals unable to access LARC. These were to be readily available and included hormonal contraception such as the progestogen-only pill. </w:t>
      </w:r>
    </w:p>
    <w:p w14:paraId="13F9E4D7" w14:textId="77777777" w:rsidR="00DD7D30" w:rsidRDefault="00DD7D30" w:rsidP="00B777CD">
      <w:pPr>
        <w:jc w:val="both"/>
        <w:rPr>
          <w:rFonts w:ascii="Arial" w:hAnsi="Arial" w:cs="Arial"/>
          <w:sz w:val="28"/>
          <w:szCs w:val="28"/>
        </w:rPr>
      </w:pPr>
    </w:p>
    <w:p w14:paraId="74CCBF94" w14:textId="43D66A4A" w:rsidR="00DD7D30" w:rsidRDefault="00DD7D30" w:rsidP="00B777CD">
      <w:pPr>
        <w:pStyle w:val="Heading3"/>
        <w:jc w:val="both"/>
      </w:pPr>
      <w:bookmarkStart w:id="50" w:name="_Toc121996498"/>
      <w:bookmarkStart w:id="51" w:name="_Toc124346957"/>
      <w:r>
        <w:t>5.1 Cervical Screening</w:t>
      </w:r>
      <w:bookmarkEnd w:id="50"/>
      <w:bookmarkEnd w:id="51"/>
    </w:p>
    <w:p w14:paraId="13B86683" w14:textId="77777777" w:rsidR="002956A6" w:rsidRPr="002956A6" w:rsidRDefault="002956A6" w:rsidP="00B777CD">
      <w:pPr>
        <w:jc w:val="both"/>
      </w:pPr>
    </w:p>
    <w:p w14:paraId="6DDE88CC" w14:textId="77777777" w:rsidR="00DD7D30" w:rsidRDefault="00DD7D30" w:rsidP="00B777CD">
      <w:pPr>
        <w:jc w:val="both"/>
        <w:rPr>
          <w:rFonts w:ascii="Arial" w:hAnsi="Arial" w:cs="Arial"/>
          <w:sz w:val="28"/>
          <w:szCs w:val="28"/>
        </w:rPr>
      </w:pPr>
      <w:r>
        <w:rPr>
          <w:rFonts w:ascii="Arial" w:hAnsi="Arial" w:cs="Arial"/>
          <w:sz w:val="28"/>
          <w:szCs w:val="28"/>
        </w:rPr>
        <w:t xml:space="preserve">Cervical screening, also known as a pap smear or smear test, checks the health of a cervix for any changes to the squamous cells that line the ectocervix, or outer surface of the cervix. Screening is offered to all women and people with a cervix between the ages of 25 and 64 years. Abnormal cervical intraepithelial neoplasia (CIN) can be detected in some women following the procedure which are graded 1-3 depending on severity. This is not a cancer diagnosis however a referral to colposcopy for closer investigation is required </w:t>
      </w:r>
      <w:proofErr w:type="gramStart"/>
      <w:r>
        <w:rPr>
          <w:rFonts w:ascii="Arial" w:hAnsi="Arial" w:cs="Arial"/>
          <w:sz w:val="28"/>
          <w:szCs w:val="28"/>
        </w:rPr>
        <w:t>in order to</w:t>
      </w:r>
      <w:proofErr w:type="gramEnd"/>
      <w:r>
        <w:rPr>
          <w:rFonts w:ascii="Arial" w:hAnsi="Arial" w:cs="Arial"/>
          <w:sz w:val="28"/>
          <w:szCs w:val="28"/>
        </w:rPr>
        <w:t xml:space="preserve"> prevent neoplasia from </w:t>
      </w:r>
      <w:r>
        <w:rPr>
          <w:rFonts w:ascii="Arial" w:hAnsi="Arial" w:cs="Arial"/>
          <w:sz w:val="28"/>
          <w:szCs w:val="28"/>
        </w:rPr>
        <w:lastRenderedPageBreak/>
        <w:t>progressing to cancer. Cervical cancer is almost always due to a positive human papillomavirus (HPV) infection, however risk factors for developing the disease can also include:</w:t>
      </w:r>
    </w:p>
    <w:p w14:paraId="0D32FA04"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Becoming sexually active before 18 years</w:t>
      </w:r>
    </w:p>
    <w:p w14:paraId="77AE2153"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Having multiple sexual partners</w:t>
      </w:r>
    </w:p>
    <w:p w14:paraId="6E415DFE"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Sexual intercourse with someone who either has HPV infection or has had multiple sexual partners</w:t>
      </w:r>
    </w:p>
    <w:p w14:paraId="5CBFC864"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Smoking- tobacco by-products can be found in cervical mucosa which may damage cell DNA</w:t>
      </w:r>
    </w:p>
    <w:p w14:paraId="44778C8E"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Immunosuppression, especially due to HIV</w:t>
      </w:r>
    </w:p>
    <w:p w14:paraId="3957F077"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Chlamydia infection</w:t>
      </w:r>
    </w:p>
    <w:p w14:paraId="7DB0C6A4" w14:textId="77777777" w:rsidR="00DD7D30" w:rsidRPr="00EA3CA8" w:rsidRDefault="00DD7D30" w:rsidP="00B777CD">
      <w:pPr>
        <w:pStyle w:val="ListParagraph"/>
        <w:numPr>
          <w:ilvl w:val="0"/>
          <w:numId w:val="12"/>
        </w:numPr>
        <w:jc w:val="both"/>
        <w:rPr>
          <w:rFonts w:ascii="Arial" w:hAnsi="Arial" w:cs="Arial"/>
          <w:sz w:val="28"/>
          <w:szCs w:val="28"/>
        </w:rPr>
      </w:pPr>
      <w:r w:rsidRPr="00EA3CA8">
        <w:rPr>
          <w:rFonts w:ascii="Arial" w:hAnsi="Arial" w:cs="Arial"/>
          <w:sz w:val="28"/>
          <w:szCs w:val="28"/>
        </w:rPr>
        <w:t xml:space="preserve">Long-term use of oral contraceptives </w:t>
      </w:r>
    </w:p>
    <w:p w14:paraId="01C17160" w14:textId="77777777" w:rsidR="00DD7D30" w:rsidRDefault="00DD7D30" w:rsidP="00B777CD">
      <w:pPr>
        <w:jc w:val="both"/>
        <w:rPr>
          <w:rFonts w:ascii="Arial" w:hAnsi="Arial" w:cs="Arial"/>
          <w:sz w:val="28"/>
          <w:szCs w:val="28"/>
        </w:rPr>
      </w:pPr>
    </w:p>
    <w:p w14:paraId="752723A6" w14:textId="77777777" w:rsidR="00DD7D30" w:rsidRDefault="00DD7D30" w:rsidP="00B777CD">
      <w:pPr>
        <w:jc w:val="both"/>
        <w:rPr>
          <w:rFonts w:ascii="Arial" w:hAnsi="Arial" w:cs="Arial"/>
          <w:sz w:val="28"/>
          <w:szCs w:val="28"/>
        </w:rPr>
      </w:pPr>
      <w:r>
        <w:rPr>
          <w:rFonts w:ascii="Arial" w:hAnsi="Arial" w:cs="Arial"/>
          <w:b/>
          <w:bCs/>
          <w:noProof/>
          <w:sz w:val="28"/>
          <w:szCs w:val="28"/>
        </w:rPr>
        <w:drawing>
          <wp:anchor distT="0" distB="0" distL="114300" distR="114300" simplePos="0" relativeHeight="251662336" behindDoc="1" locked="0" layoutInCell="1" allowOverlap="1" wp14:anchorId="47334182" wp14:editId="1464FAAF">
            <wp:simplePos x="0" y="0"/>
            <wp:positionH relativeFrom="margin">
              <wp:posOffset>2980690</wp:posOffset>
            </wp:positionH>
            <wp:positionV relativeFrom="paragraph">
              <wp:posOffset>0</wp:posOffset>
            </wp:positionV>
            <wp:extent cx="3108960" cy="2331720"/>
            <wp:effectExtent l="0" t="0" r="0" b="0"/>
            <wp:wrapTight wrapText="bothSides">
              <wp:wrapPolygon edited="0">
                <wp:start x="0" y="0"/>
                <wp:lineTo x="0" y="21353"/>
                <wp:lineTo x="21441" y="21353"/>
                <wp:lineTo x="21441" y="0"/>
                <wp:lineTo x="0" y="0"/>
              </wp:wrapPolygon>
            </wp:wrapTight>
            <wp:docPr id="22" name="Picture 2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08960" cy="23317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8"/>
          <w:szCs w:val="28"/>
        </w:rPr>
        <w:drawing>
          <wp:anchor distT="0" distB="0" distL="114300" distR="114300" simplePos="0" relativeHeight="251663360" behindDoc="1" locked="0" layoutInCell="1" allowOverlap="1" wp14:anchorId="00F1D8FB" wp14:editId="591DBAA6">
            <wp:simplePos x="0" y="0"/>
            <wp:positionH relativeFrom="column">
              <wp:posOffset>-266700</wp:posOffset>
            </wp:positionH>
            <wp:positionV relativeFrom="paragraph">
              <wp:posOffset>4445</wp:posOffset>
            </wp:positionV>
            <wp:extent cx="3078480" cy="2308225"/>
            <wp:effectExtent l="0" t="0" r="7620" b="0"/>
            <wp:wrapTight wrapText="bothSides">
              <wp:wrapPolygon edited="0">
                <wp:start x="0" y="0"/>
                <wp:lineTo x="0" y="21392"/>
                <wp:lineTo x="21520" y="21392"/>
                <wp:lineTo x="21520" y="0"/>
                <wp:lineTo x="0" y="0"/>
              </wp:wrapPolygon>
            </wp:wrapTight>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line 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78480" cy="2308225"/>
                    </a:xfrm>
                    <a:prstGeom prst="rect">
                      <a:avLst/>
                    </a:prstGeom>
                  </pic:spPr>
                </pic:pic>
              </a:graphicData>
            </a:graphic>
            <wp14:sizeRelH relativeFrom="margin">
              <wp14:pctWidth>0</wp14:pctWidth>
            </wp14:sizeRelH>
            <wp14:sizeRelV relativeFrom="margin">
              <wp14:pctHeight>0</wp14:pctHeight>
            </wp14:sizeRelV>
          </wp:anchor>
        </w:drawing>
      </w:r>
    </w:p>
    <w:p w14:paraId="798F84D9" w14:textId="7AD4C9EB" w:rsidR="00DD7D30" w:rsidRDefault="00DD7D30" w:rsidP="00B777CD">
      <w:pPr>
        <w:pStyle w:val="Caption"/>
        <w:jc w:val="both"/>
        <w:rPr>
          <w:rFonts w:ascii="Arial" w:hAnsi="Arial" w:cs="Arial"/>
          <w:b/>
          <w:bCs/>
          <w:sz w:val="28"/>
          <w:szCs w:val="28"/>
        </w:rPr>
      </w:pPr>
      <w:r>
        <w:t xml:space="preserve">Figure </w:t>
      </w:r>
      <w:fldSimple w:instr=" SEQ Figure \* ARABIC ">
        <w:r w:rsidR="00A401A2">
          <w:rPr>
            <w:noProof/>
          </w:rPr>
          <w:t>12</w:t>
        </w:r>
      </w:fldSimple>
      <w:r>
        <w:t xml:space="preserve">: </w:t>
      </w:r>
      <w:r w:rsidRPr="00B25879">
        <w:t>Figure 9: Cancer screening coverage: cervical cancer (age cohorts 25-49 years and 50-64 years)</w:t>
      </w:r>
    </w:p>
    <w:p w14:paraId="11E87F2E" w14:textId="77777777" w:rsidR="00DD7D30" w:rsidRDefault="00DD7D30" w:rsidP="00B777CD">
      <w:pPr>
        <w:jc w:val="both"/>
        <w:rPr>
          <w:rFonts w:ascii="Arial" w:hAnsi="Arial" w:cs="Arial"/>
          <w:sz w:val="28"/>
          <w:szCs w:val="28"/>
        </w:rPr>
      </w:pPr>
    </w:p>
    <w:p w14:paraId="1F63D56A" w14:textId="5770365D" w:rsidR="00DD7D30" w:rsidRDefault="00DD7D30" w:rsidP="00B777CD">
      <w:pPr>
        <w:jc w:val="both"/>
        <w:rPr>
          <w:rFonts w:ascii="Arial" w:hAnsi="Arial" w:cs="Arial"/>
          <w:sz w:val="28"/>
          <w:szCs w:val="28"/>
        </w:rPr>
      </w:pPr>
      <w:r>
        <w:rPr>
          <w:rFonts w:ascii="Arial" w:hAnsi="Arial" w:cs="Arial"/>
          <w:sz w:val="28"/>
          <w:szCs w:val="28"/>
        </w:rPr>
        <w:t xml:space="preserve">Figure </w:t>
      </w:r>
      <w:r w:rsidR="00815BD0">
        <w:rPr>
          <w:rFonts w:ascii="Arial" w:hAnsi="Arial" w:cs="Arial"/>
          <w:sz w:val="28"/>
          <w:szCs w:val="28"/>
        </w:rPr>
        <w:t>1</w:t>
      </w:r>
      <w:r w:rsidR="00A401A2">
        <w:rPr>
          <w:rFonts w:ascii="Arial" w:hAnsi="Arial" w:cs="Arial"/>
          <w:sz w:val="28"/>
          <w:szCs w:val="28"/>
        </w:rPr>
        <w:t>2</w:t>
      </w:r>
      <w:r>
        <w:rPr>
          <w:rFonts w:ascii="Arial" w:hAnsi="Arial" w:cs="Arial"/>
          <w:sz w:val="28"/>
          <w:szCs w:val="28"/>
        </w:rPr>
        <w:t xml:space="preserve"> shows that the numbers of women attending cervical screening has gradually declined, both in York and nationally. This is despite campaigns to encourage women and people with a cervix to attend cervical screenings.  </w:t>
      </w:r>
    </w:p>
    <w:p w14:paraId="53FF04D8" w14:textId="77777777" w:rsidR="00DD7D30" w:rsidRDefault="00DD7D30" w:rsidP="00B777CD">
      <w:pPr>
        <w:jc w:val="both"/>
        <w:rPr>
          <w:rFonts w:ascii="Arial" w:hAnsi="Arial" w:cs="Arial"/>
          <w:sz w:val="28"/>
          <w:szCs w:val="28"/>
        </w:rPr>
      </w:pPr>
    </w:p>
    <w:p w14:paraId="7969BB4A" w14:textId="3D7830B6" w:rsidR="00DD7D30" w:rsidRDefault="00DD7D30" w:rsidP="00B777CD">
      <w:pPr>
        <w:pStyle w:val="Heading3"/>
        <w:jc w:val="both"/>
      </w:pPr>
      <w:bookmarkStart w:id="52" w:name="_Toc121996499"/>
      <w:bookmarkStart w:id="53" w:name="_Toc124346958"/>
      <w:r>
        <w:t>5.2 HPV Vaccination</w:t>
      </w:r>
      <w:bookmarkEnd w:id="52"/>
      <w:bookmarkEnd w:id="53"/>
    </w:p>
    <w:p w14:paraId="46F18444" w14:textId="77777777" w:rsidR="00B94D03" w:rsidRPr="00B94D03" w:rsidRDefault="00B94D03" w:rsidP="00B777CD">
      <w:pPr>
        <w:jc w:val="both"/>
      </w:pPr>
    </w:p>
    <w:p w14:paraId="68430A81" w14:textId="6001B1C1" w:rsidR="00DD7D30" w:rsidRPr="00022C00" w:rsidRDefault="009369EF" w:rsidP="00B777CD">
      <w:pPr>
        <w:jc w:val="both"/>
        <w:rPr>
          <w:rFonts w:ascii="Arial" w:hAnsi="Arial" w:cs="Arial"/>
          <w:sz w:val="28"/>
          <w:szCs w:val="28"/>
        </w:rPr>
      </w:pPr>
      <w:r>
        <w:rPr>
          <w:rFonts w:ascii="Arial" w:hAnsi="Arial" w:cs="Arial"/>
          <w:noProof/>
          <w:sz w:val="28"/>
          <w:szCs w:val="28"/>
        </w:rPr>
        <w:lastRenderedPageBreak/>
        <w:drawing>
          <wp:anchor distT="0" distB="0" distL="114300" distR="114300" simplePos="0" relativeHeight="251666432" behindDoc="1" locked="0" layoutInCell="1" allowOverlap="1" wp14:anchorId="648E4540" wp14:editId="0294C479">
            <wp:simplePos x="0" y="0"/>
            <wp:positionH relativeFrom="margin">
              <wp:posOffset>-601345</wp:posOffset>
            </wp:positionH>
            <wp:positionV relativeFrom="paragraph">
              <wp:posOffset>1205865</wp:posOffset>
            </wp:positionV>
            <wp:extent cx="6756616" cy="1699260"/>
            <wp:effectExtent l="0" t="0" r="6350" b="0"/>
            <wp:wrapTight wrapText="bothSides">
              <wp:wrapPolygon edited="0">
                <wp:start x="0" y="0"/>
                <wp:lineTo x="0" y="21309"/>
                <wp:lineTo x="21559" y="21309"/>
                <wp:lineTo x="21559" y="0"/>
                <wp:lineTo x="0" y="0"/>
              </wp:wrapPolygon>
            </wp:wrapTight>
            <wp:docPr id="10" name="Picture 1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enda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756616" cy="1699260"/>
                    </a:xfrm>
                    <a:prstGeom prst="rect">
                      <a:avLst/>
                    </a:prstGeom>
                  </pic:spPr>
                </pic:pic>
              </a:graphicData>
            </a:graphic>
          </wp:anchor>
        </w:drawing>
      </w:r>
      <w:r w:rsidR="00DD7D30">
        <w:rPr>
          <w:rFonts w:ascii="Arial" w:hAnsi="Arial" w:cs="Arial"/>
          <w:sz w:val="28"/>
          <w:szCs w:val="28"/>
        </w:rPr>
        <w:t>In recent years, vaccination against human papillomavirus (HPV) has contributed to reduced cancer mortality and morbidity rates to an extent that WHO believes it can be eliminated as a public health problem by 2030.</w:t>
      </w:r>
      <w:r w:rsidR="00DD7D30">
        <w:rPr>
          <w:rStyle w:val="FootnoteReference"/>
          <w:rFonts w:ascii="Arial" w:hAnsi="Arial" w:cs="Arial"/>
          <w:sz w:val="28"/>
          <w:szCs w:val="28"/>
        </w:rPr>
        <w:footnoteReference w:id="20"/>
      </w:r>
      <w:r w:rsidR="00DD7D30">
        <w:rPr>
          <w:rFonts w:ascii="Arial" w:hAnsi="Arial" w:cs="Arial"/>
          <w:sz w:val="28"/>
          <w:szCs w:val="28"/>
        </w:rPr>
        <w:t xml:space="preserve"> HPV can also cause other cancers, including those of the vagina, </w:t>
      </w:r>
      <w:proofErr w:type="gramStart"/>
      <w:r w:rsidR="00DD7D30" w:rsidRPr="006E5FC3">
        <w:rPr>
          <w:rFonts w:ascii="Arial" w:hAnsi="Arial" w:cs="Arial"/>
          <w:sz w:val="28"/>
          <w:szCs w:val="28"/>
        </w:rPr>
        <w:t>penis</w:t>
      </w:r>
      <w:proofErr w:type="gramEnd"/>
      <w:r w:rsidR="00DD7D30" w:rsidRPr="006E5FC3">
        <w:rPr>
          <w:rFonts w:ascii="Arial" w:hAnsi="Arial" w:cs="Arial"/>
          <w:sz w:val="28"/>
          <w:szCs w:val="28"/>
        </w:rPr>
        <w:t xml:space="preserve"> and anus. HPV can also cause genital warts.   </w:t>
      </w:r>
    </w:p>
    <w:p w14:paraId="6EF6E42E" w14:textId="63AF8BA7" w:rsidR="00DD7D30" w:rsidRPr="006E5FC3" w:rsidRDefault="00DD7D30" w:rsidP="00B777CD">
      <w:pPr>
        <w:pStyle w:val="Caption"/>
        <w:jc w:val="both"/>
      </w:pPr>
      <w:r>
        <w:t xml:space="preserve">Figure </w:t>
      </w:r>
      <w:fldSimple w:instr=" SEQ Figure \* ARABIC ">
        <w:r w:rsidR="00A401A2">
          <w:rPr>
            <w:noProof/>
          </w:rPr>
          <w:t>13</w:t>
        </w:r>
      </w:fldSimple>
      <w:r>
        <w:t>: HPV Vaccinator coverage in York compared with England</w:t>
      </w:r>
    </w:p>
    <w:p w14:paraId="109CB971" w14:textId="451D5B0C" w:rsidR="00DD7D30" w:rsidRDefault="00DD7D30" w:rsidP="00B777CD">
      <w:pPr>
        <w:jc w:val="both"/>
        <w:rPr>
          <w:rFonts w:ascii="Arial" w:hAnsi="Arial" w:cs="Arial"/>
          <w:sz w:val="28"/>
          <w:szCs w:val="28"/>
        </w:rPr>
      </w:pPr>
      <w:r>
        <w:rPr>
          <w:rFonts w:ascii="Arial" w:hAnsi="Arial" w:cs="Arial"/>
          <w:sz w:val="28"/>
          <w:szCs w:val="28"/>
        </w:rPr>
        <w:t>Figure 1</w:t>
      </w:r>
      <w:r w:rsidR="00A401A2">
        <w:rPr>
          <w:rFonts w:ascii="Arial" w:hAnsi="Arial" w:cs="Arial"/>
          <w:sz w:val="28"/>
          <w:szCs w:val="28"/>
        </w:rPr>
        <w:t>3</w:t>
      </w:r>
      <w:r>
        <w:rPr>
          <w:rFonts w:ascii="Arial" w:hAnsi="Arial" w:cs="Arial"/>
          <w:sz w:val="28"/>
          <w:szCs w:val="28"/>
        </w:rPr>
        <w:t xml:space="preserve"> shows the vaccination coverage of the HPV virus in York stratified by gender, and numbers of doses. The total proportion of teenagers aged 12-13 years who have received one dose is 85.7% (n = 1854). For males, this is statistically </w:t>
      </w:r>
      <w:proofErr w:type="gramStart"/>
      <w:r>
        <w:rPr>
          <w:rFonts w:ascii="Arial" w:hAnsi="Arial" w:cs="Arial"/>
          <w:sz w:val="28"/>
          <w:szCs w:val="28"/>
        </w:rPr>
        <w:t>similar to</w:t>
      </w:r>
      <w:proofErr w:type="gramEnd"/>
      <w:r>
        <w:rPr>
          <w:rFonts w:ascii="Arial" w:hAnsi="Arial" w:cs="Arial"/>
          <w:sz w:val="28"/>
          <w:szCs w:val="28"/>
        </w:rPr>
        <w:t xml:space="preserve"> the national average. For females receiving one or two doses, the trend shows decreasing numbers are receiving the vaccine at a rate that is statistically worse than England. The reasons for this are multi-factorial. HPV is seen as a sexually transmitted infection with some parents believing their children would be encouraged to have sex. Vaccine efficacy has also been highlighted as a concern with links to chronic fatigue syndrome and complex regional pain syndrome.</w:t>
      </w:r>
      <w:r>
        <w:rPr>
          <w:rStyle w:val="FootnoteReference"/>
          <w:rFonts w:ascii="Arial" w:hAnsi="Arial" w:cs="Arial"/>
          <w:sz w:val="28"/>
          <w:szCs w:val="28"/>
        </w:rPr>
        <w:footnoteReference w:id="21"/>
      </w:r>
      <w:r>
        <w:rPr>
          <w:rFonts w:ascii="Arial" w:hAnsi="Arial" w:cs="Arial"/>
          <w:sz w:val="28"/>
          <w:szCs w:val="28"/>
        </w:rPr>
        <w:t xml:space="preserve"> Recommendations from clinicians and social media personalities such as </w:t>
      </w:r>
      <w:proofErr w:type="spellStart"/>
      <w:r>
        <w:rPr>
          <w:rFonts w:ascii="Arial" w:hAnsi="Arial" w:cs="Arial"/>
          <w:sz w:val="28"/>
          <w:szCs w:val="28"/>
        </w:rPr>
        <w:t>TikTok</w:t>
      </w:r>
      <w:proofErr w:type="spellEnd"/>
      <w:r>
        <w:rPr>
          <w:rFonts w:ascii="Arial" w:hAnsi="Arial" w:cs="Arial"/>
          <w:sz w:val="28"/>
          <w:szCs w:val="28"/>
        </w:rPr>
        <w:t xml:space="preserve"> influencers have been shown to have a huge positive impact on uptake.</w:t>
      </w:r>
    </w:p>
    <w:p w14:paraId="6782D9EC" w14:textId="77777777" w:rsidR="00DD7D30" w:rsidRDefault="00DD7D30" w:rsidP="00B777CD">
      <w:pPr>
        <w:jc w:val="both"/>
        <w:rPr>
          <w:rFonts w:ascii="Arial" w:hAnsi="Arial" w:cs="Arial"/>
          <w:sz w:val="28"/>
          <w:szCs w:val="28"/>
        </w:rPr>
      </w:pPr>
    </w:p>
    <w:p w14:paraId="21EF2394" w14:textId="77777777" w:rsidR="00DD7D30" w:rsidRDefault="00DD7D30" w:rsidP="00B777CD">
      <w:pPr>
        <w:pStyle w:val="Heading3"/>
        <w:jc w:val="both"/>
      </w:pPr>
      <w:bookmarkStart w:id="54" w:name="_Toc121996500"/>
      <w:bookmarkStart w:id="55" w:name="_Toc124346959"/>
      <w:r>
        <w:t>5.3 Unplanned pregnancy</w:t>
      </w:r>
      <w:bookmarkEnd w:id="54"/>
      <w:bookmarkEnd w:id="55"/>
    </w:p>
    <w:p w14:paraId="75EBEFB9" w14:textId="77777777" w:rsidR="00DD7D30" w:rsidRPr="009369EF" w:rsidRDefault="00DD7D30" w:rsidP="00B777CD">
      <w:pPr>
        <w:pStyle w:val="NormalWeb"/>
        <w:shd w:val="clear" w:color="auto" w:fill="FFFFFF"/>
        <w:jc w:val="both"/>
        <w:rPr>
          <w:rFonts w:ascii="Arial" w:hAnsi="Arial" w:cs="Arial"/>
          <w:color w:val="000000" w:themeColor="text1"/>
          <w:sz w:val="28"/>
          <w:szCs w:val="28"/>
        </w:rPr>
      </w:pPr>
      <w:r w:rsidRPr="009369EF">
        <w:rPr>
          <w:rFonts w:ascii="Arial" w:hAnsi="Arial" w:cs="Arial"/>
          <w:color w:val="000000" w:themeColor="text1"/>
          <w:sz w:val="28"/>
          <w:szCs w:val="28"/>
        </w:rPr>
        <w:t xml:space="preserve">Unplanned pregnancy can end in maternity, </w:t>
      </w:r>
      <w:proofErr w:type="gramStart"/>
      <w:r w:rsidRPr="009369EF">
        <w:rPr>
          <w:rFonts w:ascii="Arial" w:hAnsi="Arial" w:cs="Arial"/>
          <w:color w:val="000000" w:themeColor="text1"/>
          <w:sz w:val="28"/>
          <w:szCs w:val="28"/>
        </w:rPr>
        <w:t>miscarriage</w:t>
      </w:r>
      <w:proofErr w:type="gramEnd"/>
      <w:r w:rsidRPr="009369EF">
        <w:rPr>
          <w:rFonts w:ascii="Arial" w:hAnsi="Arial" w:cs="Arial"/>
          <w:color w:val="000000" w:themeColor="text1"/>
          <w:sz w:val="28"/>
          <w:szCs w:val="28"/>
        </w:rPr>
        <w:t xml:space="preserve"> or termination. Whilst many will continue to maternity, unplanned pregnancy can cause financial, housing and relationship pressures with negative health impacts and adverse impacts on existing children. As such, restricting access to contraception by age can be counterproductive. </w:t>
      </w:r>
    </w:p>
    <w:p w14:paraId="775880B8" w14:textId="77777777" w:rsidR="00DD7D30" w:rsidRPr="009369EF" w:rsidRDefault="00DD7D30" w:rsidP="00B777CD">
      <w:pPr>
        <w:pStyle w:val="NormalWeb"/>
        <w:shd w:val="clear" w:color="auto" w:fill="FFFFFF"/>
        <w:jc w:val="both"/>
        <w:rPr>
          <w:rFonts w:ascii="Arial" w:hAnsi="Arial" w:cs="Arial"/>
          <w:color w:val="000000" w:themeColor="text1"/>
          <w:sz w:val="28"/>
          <w:szCs w:val="28"/>
        </w:rPr>
      </w:pPr>
      <w:r w:rsidRPr="009369EF">
        <w:rPr>
          <w:rFonts w:ascii="Arial" w:hAnsi="Arial" w:cs="Arial"/>
          <w:color w:val="000000" w:themeColor="text1"/>
          <w:sz w:val="28"/>
          <w:szCs w:val="28"/>
        </w:rPr>
        <w:lastRenderedPageBreak/>
        <w:t>The Third National Survey of Sexual Attitudes and Lifestyles (NATSAL-3), which was carried out in Britain in 2010-12, found that 16.2% of all pregnancies in the year before the study interview were unplanned. This survey found that:</w:t>
      </w:r>
    </w:p>
    <w:p w14:paraId="194EFE12" w14:textId="6EF9E3B8" w:rsidR="00DD7D30" w:rsidRPr="009369EF" w:rsidRDefault="00DD7D30" w:rsidP="00B777CD">
      <w:pPr>
        <w:numPr>
          <w:ilvl w:val="0"/>
          <w:numId w:val="14"/>
        </w:numPr>
        <w:shd w:val="clear" w:color="auto" w:fill="FFFFFF"/>
        <w:spacing w:before="113" w:after="113" w:line="240" w:lineRule="auto"/>
        <w:jc w:val="both"/>
        <w:rPr>
          <w:rFonts w:ascii="Arial" w:eastAsia="Times New Roman" w:hAnsi="Arial" w:cs="Arial"/>
          <w:color w:val="000000" w:themeColor="text1"/>
          <w:sz w:val="28"/>
          <w:szCs w:val="28"/>
          <w:lang w:eastAsia="en-GB"/>
        </w:rPr>
      </w:pPr>
      <w:r w:rsidRPr="009369EF">
        <w:rPr>
          <w:rFonts w:ascii="Arial" w:eastAsia="Times New Roman" w:hAnsi="Arial" w:cs="Arial"/>
          <w:color w:val="000000" w:themeColor="text1"/>
          <w:sz w:val="28"/>
          <w:szCs w:val="28"/>
          <w:lang w:eastAsia="en-GB"/>
        </w:rPr>
        <w:t xml:space="preserve">Pregnancies among </w:t>
      </w:r>
      <w:r w:rsidR="008B4319" w:rsidRPr="009369EF">
        <w:rPr>
          <w:rFonts w:ascii="Arial" w:eastAsia="Times New Roman" w:hAnsi="Arial" w:cs="Arial"/>
          <w:color w:val="000000" w:themeColor="text1"/>
          <w:sz w:val="28"/>
          <w:szCs w:val="28"/>
          <w:lang w:eastAsia="en-GB"/>
        </w:rPr>
        <w:t>16- to 19-year-old</w:t>
      </w:r>
      <w:r w:rsidRPr="009369EF">
        <w:rPr>
          <w:rFonts w:ascii="Arial" w:eastAsia="Times New Roman" w:hAnsi="Arial" w:cs="Arial"/>
          <w:color w:val="000000" w:themeColor="text1"/>
          <w:sz w:val="28"/>
          <w:szCs w:val="28"/>
          <w:lang w:eastAsia="en-GB"/>
        </w:rPr>
        <w:t xml:space="preserve"> individuals accounted for 7.5% of the total number of pregnancies, but 21.2% of the total number that were unplanned.</w:t>
      </w:r>
    </w:p>
    <w:p w14:paraId="0675A952" w14:textId="77777777" w:rsidR="00DD7D30" w:rsidRPr="009369EF" w:rsidRDefault="00DD7D30" w:rsidP="00B777CD">
      <w:pPr>
        <w:numPr>
          <w:ilvl w:val="0"/>
          <w:numId w:val="14"/>
        </w:numPr>
        <w:shd w:val="clear" w:color="auto" w:fill="FFFFFF"/>
        <w:spacing w:before="113" w:after="113" w:line="240" w:lineRule="auto"/>
        <w:jc w:val="both"/>
        <w:rPr>
          <w:rFonts w:ascii="Arial" w:eastAsia="Times New Roman" w:hAnsi="Arial" w:cs="Arial"/>
          <w:color w:val="000000" w:themeColor="text1"/>
          <w:sz w:val="28"/>
          <w:szCs w:val="28"/>
          <w:lang w:eastAsia="en-GB"/>
        </w:rPr>
      </w:pPr>
      <w:r w:rsidRPr="009369EF">
        <w:rPr>
          <w:rFonts w:ascii="Arial" w:eastAsia="Times New Roman" w:hAnsi="Arial" w:cs="Arial"/>
          <w:color w:val="000000" w:themeColor="text1"/>
          <w:sz w:val="28"/>
          <w:szCs w:val="28"/>
          <w:lang w:eastAsia="en-GB"/>
        </w:rPr>
        <w:t xml:space="preserve">The highest numbers of unplanned pregnancies occur in the </w:t>
      </w:r>
      <w:proofErr w:type="gramStart"/>
      <w:r w:rsidRPr="009369EF">
        <w:rPr>
          <w:rFonts w:ascii="Arial" w:eastAsia="Times New Roman" w:hAnsi="Arial" w:cs="Arial"/>
          <w:color w:val="000000" w:themeColor="text1"/>
          <w:sz w:val="28"/>
          <w:szCs w:val="28"/>
          <w:lang w:eastAsia="en-GB"/>
        </w:rPr>
        <w:t>20 to 34 year</w:t>
      </w:r>
      <w:proofErr w:type="gramEnd"/>
      <w:r w:rsidRPr="009369EF">
        <w:rPr>
          <w:rFonts w:ascii="Arial" w:eastAsia="Times New Roman" w:hAnsi="Arial" w:cs="Arial"/>
          <w:color w:val="000000" w:themeColor="text1"/>
          <w:sz w:val="28"/>
          <w:szCs w:val="28"/>
          <w:lang w:eastAsia="en-GB"/>
        </w:rPr>
        <w:t xml:space="preserve"> age group.</w:t>
      </w:r>
    </w:p>
    <w:p w14:paraId="6AED6BC7" w14:textId="77777777" w:rsidR="00DD7D30" w:rsidRPr="009369EF" w:rsidRDefault="00DD7D30" w:rsidP="00B777CD">
      <w:pPr>
        <w:numPr>
          <w:ilvl w:val="0"/>
          <w:numId w:val="14"/>
        </w:numPr>
        <w:shd w:val="clear" w:color="auto" w:fill="FFFFFF"/>
        <w:spacing w:before="113" w:after="113" w:line="240" w:lineRule="auto"/>
        <w:jc w:val="both"/>
        <w:rPr>
          <w:rFonts w:ascii="Arial" w:eastAsia="Times New Roman" w:hAnsi="Arial" w:cs="Arial"/>
          <w:color w:val="000000" w:themeColor="text1"/>
          <w:sz w:val="28"/>
          <w:szCs w:val="28"/>
          <w:lang w:eastAsia="en-GB"/>
        </w:rPr>
      </w:pPr>
      <w:r w:rsidRPr="009369EF">
        <w:rPr>
          <w:rFonts w:ascii="Arial" w:eastAsia="Times New Roman" w:hAnsi="Arial" w:cs="Arial"/>
          <w:color w:val="000000" w:themeColor="text1"/>
          <w:sz w:val="28"/>
          <w:szCs w:val="28"/>
          <w:lang w:eastAsia="en-GB"/>
        </w:rPr>
        <w:t xml:space="preserve">42% of the unplanned pregnancies ended in an abortion, 32% ended in a miscarriage and 25% went on to a </w:t>
      </w:r>
      <w:proofErr w:type="gramStart"/>
      <w:r w:rsidRPr="009369EF">
        <w:rPr>
          <w:rFonts w:ascii="Arial" w:eastAsia="Times New Roman" w:hAnsi="Arial" w:cs="Arial"/>
          <w:color w:val="000000" w:themeColor="text1"/>
          <w:sz w:val="28"/>
          <w:szCs w:val="28"/>
          <w:lang w:eastAsia="en-GB"/>
        </w:rPr>
        <w:t>full term</w:t>
      </w:r>
      <w:proofErr w:type="gramEnd"/>
      <w:r w:rsidRPr="009369EF">
        <w:rPr>
          <w:rFonts w:ascii="Arial" w:eastAsia="Times New Roman" w:hAnsi="Arial" w:cs="Arial"/>
          <w:color w:val="000000" w:themeColor="text1"/>
          <w:sz w:val="28"/>
          <w:szCs w:val="28"/>
          <w:lang w:eastAsia="en-GB"/>
        </w:rPr>
        <w:t xml:space="preserve"> pregnancy</w:t>
      </w:r>
    </w:p>
    <w:p w14:paraId="314CABF4" w14:textId="77777777" w:rsidR="00DD7D30" w:rsidRPr="00E37E29" w:rsidRDefault="00DD7D30" w:rsidP="00B777CD">
      <w:pPr>
        <w:jc w:val="both"/>
        <w:rPr>
          <w:rFonts w:ascii="Arial" w:hAnsi="Arial" w:cs="Arial"/>
          <w:sz w:val="28"/>
          <w:szCs w:val="28"/>
        </w:rPr>
      </w:pPr>
    </w:p>
    <w:bookmarkStart w:id="56" w:name="_Toc121996501"/>
    <w:bookmarkStart w:id="57" w:name="_Toc124346960"/>
    <w:p w14:paraId="656D7074" w14:textId="77777777" w:rsidR="00DD7D30" w:rsidRDefault="00DD7D30" w:rsidP="00B777CD">
      <w:pPr>
        <w:pStyle w:val="Heading3"/>
        <w:jc w:val="both"/>
      </w:pPr>
      <w:r>
        <w:rPr>
          <w:noProof/>
        </w:rPr>
        <mc:AlternateContent>
          <mc:Choice Requires="wps">
            <w:drawing>
              <wp:anchor distT="0" distB="0" distL="114300" distR="114300" simplePos="0" relativeHeight="251665408" behindDoc="1" locked="0" layoutInCell="1" allowOverlap="1" wp14:anchorId="40CA6532" wp14:editId="2F9916F1">
                <wp:simplePos x="0" y="0"/>
                <wp:positionH relativeFrom="column">
                  <wp:posOffset>-426720</wp:posOffset>
                </wp:positionH>
                <wp:positionV relativeFrom="paragraph">
                  <wp:posOffset>2564765</wp:posOffset>
                </wp:positionV>
                <wp:extent cx="677164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6771640" cy="635"/>
                        </a:xfrm>
                        <a:prstGeom prst="rect">
                          <a:avLst/>
                        </a:prstGeom>
                        <a:solidFill>
                          <a:prstClr val="white"/>
                        </a:solidFill>
                        <a:ln>
                          <a:noFill/>
                        </a:ln>
                      </wps:spPr>
                      <wps:txbx>
                        <w:txbxContent>
                          <w:p w14:paraId="7A2A860A" w14:textId="31B91C33" w:rsidR="00DD7D30" w:rsidRDefault="00DD7D30" w:rsidP="00DD7D30">
                            <w:pPr>
                              <w:pStyle w:val="Caption"/>
                              <w:rPr>
                                <w:noProof/>
                              </w:rPr>
                            </w:pPr>
                            <w:r>
                              <w:t xml:space="preserve">Figure </w:t>
                            </w:r>
                            <w:fldSimple w:instr=" SEQ Figure \* ARABIC ">
                              <w:r w:rsidR="00A401A2">
                                <w:rPr>
                                  <w:noProof/>
                                </w:rPr>
                                <w:t>14</w:t>
                              </w:r>
                            </w:fldSimple>
                            <w:r>
                              <w:t>: Chart showing key abortion indicators in York compared to England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CA6532" id="_x0000_t202" coordsize="21600,21600" o:spt="202" path="m,l,21600r21600,l21600,xe">
                <v:stroke joinstyle="miter"/>
                <v:path gradientshapeok="t" o:connecttype="rect"/>
              </v:shapetype>
              <v:shape id="Text Box 3" o:spid="_x0000_s1026" type="#_x0000_t202" style="position:absolute;left:0;text-align:left;margin-left:-33.6pt;margin-top:201.95pt;width:533.2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" stroked="f">
                <v:textbox style="mso-fit-shape-to-text:t" inset="0,0,0,0">
                  <w:txbxContent>
                    <w:p w14:paraId="7A2A860A" w14:textId="31B91C33" w:rsidR="00DD7D30" w:rsidRDefault="00DD7D30" w:rsidP="00DD7D30">
                      <w:pPr>
                        <w:pStyle w:val="Caption"/>
                        <w:rPr>
                          <w:noProof/>
                        </w:rPr>
                      </w:pPr>
                      <w:r>
                        <w:t xml:space="preserve">Figure </w:t>
                      </w:r>
                      <w:fldSimple w:instr=" SEQ Figure \* ARABIC ">
                        <w:r w:rsidR="00A401A2">
                          <w:rPr>
                            <w:noProof/>
                          </w:rPr>
                          <w:t>14</w:t>
                        </w:r>
                      </w:fldSimple>
                      <w:r>
                        <w:t>: Chart showing key abortion indicators in York compared to England</w:t>
                      </w:r>
                    </w:p>
                  </w:txbxContent>
                </v:textbox>
                <w10:wrap type="tight"/>
              </v:shape>
            </w:pict>
          </mc:Fallback>
        </mc:AlternateContent>
      </w:r>
      <w:r>
        <w:rPr>
          <w:noProof/>
        </w:rPr>
        <w:drawing>
          <wp:anchor distT="0" distB="0" distL="114300" distR="114300" simplePos="0" relativeHeight="251664384" behindDoc="1" locked="0" layoutInCell="1" allowOverlap="1" wp14:anchorId="1F11E4FC" wp14:editId="0C8A4B53">
            <wp:simplePos x="0" y="0"/>
            <wp:positionH relativeFrom="margin">
              <wp:posOffset>-426720</wp:posOffset>
            </wp:positionH>
            <wp:positionV relativeFrom="paragraph">
              <wp:posOffset>358775</wp:posOffset>
            </wp:positionV>
            <wp:extent cx="6771640" cy="2148840"/>
            <wp:effectExtent l="0" t="0" r="0" b="3810"/>
            <wp:wrapTight wrapText="bothSides">
              <wp:wrapPolygon edited="0">
                <wp:start x="0" y="0"/>
                <wp:lineTo x="0" y="21447"/>
                <wp:lineTo x="21511" y="21447"/>
                <wp:lineTo x="21511"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rotWithShape="1">
                    <a:blip r:embed="rId28">
                      <a:extLst>
                        <a:ext uri="{28A0092B-C50C-407E-A947-70E740481C1C}">
                          <a14:useLocalDpi xmlns:a14="http://schemas.microsoft.com/office/drawing/2010/main" val="0"/>
                        </a:ext>
                      </a:extLst>
                    </a:blip>
                    <a:srcRect l="10256" r="10264"/>
                    <a:stretch/>
                  </pic:blipFill>
                  <pic:spPr bwMode="auto">
                    <a:xfrm>
                      <a:off x="0" y="0"/>
                      <a:ext cx="6771640" cy="2148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5.4 Abortion</w:t>
      </w:r>
      <w:bookmarkEnd w:id="56"/>
      <w:bookmarkEnd w:id="57"/>
    </w:p>
    <w:p w14:paraId="327FF08D"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The total number of abortions in 2020 was 522. </w:t>
      </w:r>
      <w:r w:rsidRPr="009369EF">
        <w:rPr>
          <w:rFonts w:ascii="Arial" w:hAnsi="Arial" w:cs="Arial"/>
          <w:color w:val="000000" w:themeColor="text1"/>
          <w:sz w:val="28"/>
          <w:szCs w:val="28"/>
          <w:shd w:val="clear" w:color="auto" w:fill="FFFFFF"/>
        </w:rPr>
        <w:t>The total abortion rate per 1,000 female population aged 15 to 44 years was </w:t>
      </w:r>
      <w:r w:rsidRPr="009369EF">
        <w:rPr>
          <w:rStyle w:val="dynamic"/>
          <w:rFonts w:ascii="Arial" w:hAnsi="Arial" w:cs="Arial"/>
          <w:color w:val="000000" w:themeColor="text1"/>
          <w:sz w:val="28"/>
          <w:szCs w:val="28"/>
        </w:rPr>
        <w:t>11.4</w:t>
      </w:r>
      <w:r w:rsidRPr="009369EF">
        <w:rPr>
          <w:rFonts w:ascii="Arial" w:hAnsi="Arial" w:cs="Arial"/>
          <w:color w:val="000000" w:themeColor="text1"/>
          <w:sz w:val="28"/>
          <w:szCs w:val="28"/>
          <w:shd w:val="clear" w:color="auto" w:fill="FFFFFF"/>
        </w:rPr>
        <w:t>, </w:t>
      </w:r>
      <w:r w:rsidRPr="009369EF">
        <w:rPr>
          <w:rStyle w:val="dynamic"/>
          <w:rFonts w:ascii="Arial" w:hAnsi="Arial" w:cs="Arial"/>
          <w:color w:val="000000" w:themeColor="text1"/>
          <w:sz w:val="28"/>
          <w:szCs w:val="28"/>
        </w:rPr>
        <w:t>lower than</w:t>
      </w:r>
      <w:r w:rsidRPr="009369EF">
        <w:rPr>
          <w:rFonts w:ascii="Arial" w:hAnsi="Arial" w:cs="Arial"/>
          <w:color w:val="000000" w:themeColor="text1"/>
          <w:sz w:val="28"/>
          <w:szCs w:val="28"/>
          <w:shd w:val="clear" w:color="auto" w:fill="FFFFFF"/>
        </w:rPr>
        <w:t> the rate in England of </w:t>
      </w:r>
      <w:r w:rsidRPr="009369EF">
        <w:rPr>
          <w:rStyle w:val="dynamic"/>
          <w:rFonts w:ascii="Arial" w:hAnsi="Arial" w:cs="Arial"/>
          <w:color w:val="000000" w:themeColor="text1"/>
          <w:sz w:val="28"/>
          <w:szCs w:val="28"/>
        </w:rPr>
        <w:t>18.9</w:t>
      </w:r>
      <w:r w:rsidRPr="009369EF">
        <w:rPr>
          <w:rFonts w:ascii="Arial" w:hAnsi="Arial" w:cs="Arial"/>
          <w:color w:val="000000" w:themeColor="text1"/>
          <w:sz w:val="28"/>
          <w:szCs w:val="28"/>
          <w:shd w:val="clear" w:color="auto" w:fill="FFFFFF"/>
        </w:rPr>
        <w:t> per 1,000. The rank (out of </w:t>
      </w:r>
      <w:r w:rsidRPr="009369EF">
        <w:rPr>
          <w:rStyle w:val="dynamic"/>
          <w:rFonts w:ascii="Arial" w:hAnsi="Arial" w:cs="Arial"/>
          <w:color w:val="000000" w:themeColor="text1"/>
          <w:sz w:val="28"/>
          <w:szCs w:val="28"/>
        </w:rPr>
        <w:t>149</w:t>
      </w:r>
      <w:r w:rsidRPr="009369EF">
        <w:rPr>
          <w:rFonts w:ascii="Arial" w:hAnsi="Arial" w:cs="Arial"/>
          <w:color w:val="000000" w:themeColor="text1"/>
          <w:sz w:val="28"/>
          <w:szCs w:val="28"/>
          <w:shd w:val="clear" w:color="auto" w:fill="FFFFFF"/>
        </w:rPr>
        <w:t> UTLAs/UAs) within England for the total abortion rate was </w:t>
      </w:r>
      <w:r w:rsidRPr="009369EF">
        <w:rPr>
          <w:rStyle w:val="dynamic"/>
          <w:rFonts w:ascii="Arial" w:hAnsi="Arial" w:cs="Arial"/>
          <w:color w:val="000000" w:themeColor="text1"/>
          <w:sz w:val="28"/>
          <w:szCs w:val="28"/>
        </w:rPr>
        <w:t>148th highest</w:t>
      </w:r>
      <w:r w:rsidRPr="009369EF">
        <w:rPr>
          <w:rFonts w:ascii="Arial" w:hAnsi="Arial" w:cs="Arial"/>
          <w:color w:val="000000" w:themeColor="text1"/>
          <w:sz w:val="28"/>
          <w:szCs w:val="28"/>
          <w:shd w:val="clear" w:color="auto" w:fill="FFFFFF"/>
        </w:rPr>
        <w:t>.</w:t>
      </w:r>
    </w:p>
    <w:p w14:paraId="713C25F7" w14:textId="77777777" w:rsidR="00DD7D30" w:rsidRPr="00743BC4" w:rsidRDefault="00DD7D30" w:rsidP="00B777CD">
      <w:pPr>
        <w:jc w:val="both"/>
      </w:pPr>
    </w:p>
    <w:p w14:paraId="2B895F48" w14:textId="77777777" w:rsidR="00DD7D30" w:rsidRDefault="00DD7D30" w:rsidP="00B777CD">
      <w:pPr>
        <w:pStyle w:val="Heading3"/>
        <w:jc w:val="both"/>
      </w:pPr>
      <w:bookmarkStart w:id="58" w:name="_Toc121996502"/>
      <w:bookmarkStart w:id="59" w:name="_Toc124346961"/>
      <w:r>
        <w:lastRenderedPageBreak/>
        <w:t>5.5 Long-Acting Reversible Contraception</w:t>
      </w:r>
      <w:bookmarkEnd w:id="58"/>
      <w:bookmarkEnd w:id="59"/>
    </w:p>
    <w:p w14:paraId="50190C05" w14:textId="0EF6B2A0" w:rsidR="00DD7D30" w:rsidRDefault="009369EF" w:rsidP="00B777CD">
      <w:pPr>
        <w:pStyle w:val="NormalWeb"/>
        <w:shd w:val="clear" w:color="auto" w:fill="FFFFFF"/>
        <w:jc w:val="both"/>
        <w:rPr>
          <w:rFonts w:ascii="Arial" w:hAnsi="Arial" w:cs="Arial"/>
          <w:sz w:val="28"/>
          <w:szCs w:val="28"/>
        </w:rPr>
      </w:pPr>
      <w:r>
        <w:rPr>
          <w:rFonts w:ascii="Arial" w:hAnsi="Arial" w:cs="Arial"/>
          <w:noProof/>
          <w:sz w:val="28"/>
          <w:szCs w:val="28"/>
        </w:rPr>
        <w:drawing>
          <wp:anchor distT="0" distB="0" distL="114300" distR="114300" simplePos="0" relativeHeight="251667456" behindDoc="1" locked="0" layoutInCell="1" allowOverlap="1" wp14:anchorId="30787656" wp14:editId="292F6A7C">
            <wp:simplePos x="0" y="0"/>
            <wp:positionH relativeFrom="margin">
              <wp:align>center</wp:align>
            </wp:positionH>
            <wp:positionV relativeFrom="paragraph">
              <wp:posOffset>1544955</wp:posOffset>
            </wp:positionV>
            <wp:extent cx="6932029" cy="1363980"/>
            <wp:effectExtent l="0" t="0" r="2540" b="7620"/>
            <wp:wrapTight wrapText="bothSides">
              <wp:wrapPolygon edited="0">
                <wp:start x="0" y="0"/>
                <wp:lineTo x="0" y="21419"/>
                <wp:lineTo x="21549" y="21419"/>
                <wp:lineTo x="21549" y="0"/>
                <wp:lineTo x="0" y="0"/>
              </wp:wrapPolygon>
            </wp:wrapTight>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932029" cy="1363980"/>
                    </a:xfrm>
                    <a:prstGeom prst="rect">
                      <a:avLst/>
                    </a:prstGeom>
                  </pic:spPr>
                </pic:pic>
              </a:graphicData>
            </a:graphic>
            <wp14:sizeRelH relativeFrom="margin">
              <wp14:pctWidth>0</wp14:pctWidth>
            </wp14:sizeRelH>
            <wp14:sizeRelV relativeFrom="margin">
              <wp14:pctHeight>0</wp14:pctHeight>
            </wp14:sizeRelV>
          </wp:anchor>
        </w:drawing>
      </w:r>
      <w:r w:rsidR="00DD7D30" w:rsidRPr="00E12F69">
        <w:rPr>
          <w:rFonts w:ascii="Arial" w:hAnsi="Arial" w:cs="Arial"/>
          <w:sz w:val="28"/>
          <w:szCs w:val="28"/>
        </w:rPr>
        <w:t>There was a significant drop in the prescribing of IUD, IUS and implants from April 2020</w:t>
      </w:r>
      <w:r w:rsidR="00DD7D30">
        <w:rPr>
          <w:rFonts w:ascii="Arial" w:hAnsi="Arial" w:cs="Arial"/>
          <w:sz w:val="28"/>
          <w:szCs w:val="28"/>
        </w:rPr>
        <w:t xml:space="preserve"> due to the pandemic. </w:t>
      </w:r>
      <w:r w:rsidR="00DD7D30" w:rsidRPr="00E12F69">
        <w:rPr>
          <w:rFonts w:ascii="Arial" w:hAnsi="Arial" w:cs="Arial"/>
          <w:sz w:val="28"/>
          <w:szCs w:val="28"/>
        </w:rPr>
        <w:t>The total rate of long-acting reversible contraception (LARC) (excluding injections) prescribed in </w:t>
      </w:r>
      <w:r w:rsidR="00DD7D30" w:rsidRPr="00E12F69">
        <w:rPr>
          <w:rFonts w:ascii="Arial" w:eastAsiaTheme="majorEastAsia" w:hAnsi="Arial" w:cs="Arial"/>
          <w:sz w:val="28"/>
          <w:szCs w:val="28"/>
        </w:rPr>
        <w:t>York</w:t>
      </w:r>
      <w:r w:rsidR="00DD7D30" w:rsidRPr="00E12F69">
        <w:rPr>
          <w:rFonts w:ascii="Arial" w:hAnsi="Arial" w:cs="Arial"/>
          <w:sz w:val="28"/>
          <w:szCs w:val="28"/>
        </w:rPr>
        <w:t xml:space="preserve"> primary care, </w:t>
      </w:r>
      <w:proofErr w:type="gramStart"/>
      <w:r w:rsidR="00DD7D30" w:rsidRPr="00E12F69">
        <w:rPr>
          <w:rFonts w:ascii="Arial" w:hAnsi="Arial" w:cs="Arial"/>
          <w:sz w:val="28"/>
          <w:szCs w:val="28"/>
        </w:rPr>
        <w:t>specialist</w:t>
      </w:r>
      <w:proofErr w:type="gramEnd"/>
      <w:r w:rsidR="00DD7D30" w:rsidRPr="00E12F69">
        <w:rPr>
          <w:rFonts w:ascii="Arial" w:hAnsi="Arial" w:cs="Arial"/>
          <w:sz w:val="28"/>
          <w:szCs w:val="28"/>
        </w:rPr>
        <w:t xml:space="preserve"> and non-specialist SHS was </w:t>
      </w:r>
      <w:r w:rsidR="00DD7D30" w:rsidRPr="00E12F69">
        <w:rPr>
          <w:rFonts w:ascii="Arial" w:eastAsiaTheme="majorEastAsia" w:hAnsi="Arial" w:cs="Arial"/>
          <w:sz w:val="28"/>
          <w:szCs w:val="28"/>
        </w:rPr>
        <w:t>46.6</w:t>
      </w:r>
      <w:r w:rsidR="00DD7D30" w:rsidRPr="00E12F69">
        <w:rPr>
          <w:rFonts w:ascii="Arial" w:hAnsi="Arial" w:cs="Arial"/>
          <w:sz w:val="28"/>
          <w:szCs w:val="28"/>
        </w:rPr>
        <w:t> per 1,000 women aged 15 to 44 years in </w:t>
      </w:r>
      <w:r w:rsidR="00DD7D30" w:rsidRPr="00E12F69">
        <w:rPr>
          <w:rFonts w:ascii="Arial" w:eastAsiaTheme="majorEastAsia" w:hAnsi="Arial" w:cs="Arial"/>
          <w:sz w:val="28"/>
          <w:szCs w:val="28"/>
        </w:rPr>
        <w:t>2020</w:t>
      </w:r>
      <w:r w:rsidR="00DD7D30" w:rsidRPr="00E12F69">
        <w:rPr>
          <w:rFonts w:ascii="Arial" w:hAnsi="Arial" w:cs="Arial"/>
          <w:sz w:val="28"/>
          <w:szCs w:val="28"/>
        </w:rPr>
        <w:t>, </w:t>
      </w:r>
      <w:r w:rsidR="00DD7D30" w:rsidRPr="00E12F69">
        <w:rPr>
          <w:rFonts w:ascii="Arial" w:eastAsiaTheme="majorEastAsia" w:hAnsi="Arial" w:cs="Arial"/>
          <w:sz w:val="28"/>
          <w:szCs w:val="28"/>
        </w:rPr>
        <w:t>higher than</w:t>
      </w:r>
      <w:r w:rsidR="00DD7D30" w:rsidRPr="00E12F69">
        <w:rPr>
          <w:rFonts w:ascii="Arial" w:hAnsi="Arial" w:cs="Arial"/>
          <w:sz w:val="28"/>
          <w:szCs w:val="28"/>
        </w:rPr>
        <w:t> the rate of </w:t>
      </w:r>
      <w:r w:rsidR="00DD7D30" w:rsidRPr="00E12F69">
        <w:rPr>
          <w:rFonts w:ascii="Arial" w:eastAsiaTheme="majorEastAsia" w:hAnsi="Arial" w:cs="Arial"/>
          <w:sz w:val="28"/>
          <w:szCs w:val="28"/>
        </w:rPr>
        <w:t>34.6</w:t>
      </w:r>
      <w:r w:rsidR="00DD7D30" w:rsidRPr="00E12F69">
        <w:rPr>
          <w:rFonts w:ascii="Arial" w:hAnsi="Arial" w:cs="Arial"/>
          <w:sz w:val="28"/>
          <w:szCs w:val="28"/>
        </w:rPr>
        <w:t> per 1,000 women in England.</w:t>
      </w:r>
    </w:p>
    <w:p w14:paraId="6BEF04DD" w14:textId="77777777" w:rsidR="00DD7D30" w:rsidRPr="00E12F69" w:rsidRDefault="00DD7D30" w:rsidP="00B777CD">
      <w:pPr>
        <w:pStyle w:val="NormalWeb"/>
        <w:shd w:val="clear" w:color="auto" w:fill="FFFFFF"/>
        <w:jc w:val="both"/>
        <w:rPr>
          <w:rFonts w:ascii="Arial" w:hAnsi="Arial" w:cs="Arial"/>
          <w:sz w:val="28"/>
          <w:szCs w:val="28"/>
        </w:rPr>
      </w:pPr>
    </w:p>
    <w:p w14:paraId="4B9A8573" w14:textId="77777777" w:rsidR="00DD7D30" w:rsidRDefault="00DD7D30" w:rsidP="00B777CD">
      <w:pPr>
        <w:shd w:val="clear" w:color="auto" w:fill="FFFFFF"/>
        <w:spacing w:before="100" w:beforeAutospacing="1" w:after="100" w:afterAutospacing="1" w:line="240" w:lineRule="auto"/>
        <w:jc w:val="both"/>
        <w:rPr>
          <w:rFonts w:ascii="Arial" w:eastAsia="Times New Roman" w:hAnsi="Arial" w:cs="Arial"/>
          <w:sz w:val="28"/>
          <w:szCs w:val="28"/>
          <w:lang w:eastAsia="en-GB"/>
        </w:rPr>
      </w:pPr>
      <w:r w:rsidRPr="00E12F69">
        <w:rPr>
          <w:rFonts w:ascii="Arial" w:eastAsia="Times New Roman" w:hAnsi="Arial" w:cs="Arial"/>
          <w:sz w:val="28"/>
          <w:szCs w:val="28"/>
          <w:lang w:eastAsia="en-GB"/>
        </w:rPr>
        <w:t>LARC provision is likely to reflect local geography and service models</w:t>
      </w:r>
      <w:r>
        <w:rPr>
          <w:rFonts w:ascii="Arial" w:eastAsia="Times New Roman" w:hAnsi="Arial" w:cs="Arial"/>
          <w:sz w:val="28"/>
          <w:szCs w:val="28"/>
          <w:lang w:eastAsia="en-GB"/>
        </w:rPr>
        <w:t>. For example,</w:t>
      </w:r>
      <w:r w:rsidRPr="00E12F69">
        <w:rPr>
          <w:rFonts w:ascii="Arial" w:eastAsia="Times New Roman" w:hAnsi="Arial" w:cs="Arial"/>
          <w:sz w:val="28"/>
          <w:szCs w:val="28"/>
          <w:lang w:eastAsia="en-GB"/>
        </w:rPr>
        <w:t> there may be more provision in primary care in more rural and semi-rural areas. In York, the rate prescribed in primary care was 29.7 in 2020, higher than the rate of 21.1 in England. The rate prescribed in the other settings was 17.0 in 2020, higher than the rate of 13.4 in England.</w:t>
      </w:r>
    </w:p>
    <w:p w14:paraId="01FE6DAA" w14:textId="77777777" w:rsidR="00DD7D30" w:rsidRPr="00330755" w:rsidRDefault="00DD7D30" w:rsidP="00B777CD">
      <w:pPr>
        <w:shd w:val="clear" w:color="auto" w:fill="FFFFFF"/>
        <w:spacing w:before="100" w:beforeAutospacing="1" w:after="100" w:afterAutospacing="1" w:line="240" w:lineRule="auto"/>
        <w:jc w:val="both"/>
        <w:rPr>
          <w:rFonts w:ascii="Arial" w:eastAsia="Times New Roman" w:hAnsi="Arial" w:cs="Arial"/>
          <w:sz w:val="28"/>
          <w:szCs w:val="28"/>
          <w:lang w:eastAsia="en-GB"/>
        </w:rPr>
      </w:pPr>
    </w:p>
    <w:p w14:paraId="18C1C0EB" w14:textId="77777777" w:rsidR="00DD7D30" w:rsidRDefault="00DD7D30" w:rsidP="00B777CD">
      <w:pPr>
        <w:pStyle w:val="Heading3"/>
        <w:jc w:val="both"/>
      </w:pPr>
      <w:bookmarkStart w:id="60" w:name="_Toc121996503"/>
      <w:bookmarkStart w:id="61" w:name="_Toc124346962"/>
      <w:r>
        <w:t xml:space="preserve">5.6 </w:t>
      </w:r>
      <w:r w:rsidRPr="00913632">
        <w:t>Teenage Conception and Parenthood</w:t>
      </w:r>
      <w:bookmarkEnd w:id="60"/>
      <w:bookmarkEnd w:id="61"/>
    </w:p>
    <w:p w14:paraId="5C12A6A7" w14:textId="77777777" w:rsidR="00DD7D30" w:rsidRPr="003F3810" w:rsidRDefault="00DD7D30" w:rsidP="00B777CD">
      <w:pPr>
        <w:jc w:val="both"/>
      </w:pPr>
    </w:p>
    <w:p w14:paraId="529036C0"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Teenage pregnancy is a complex issue with multiple factors that affect rates and experiences of mothers and babies. Access to sexual education, contraception and behavioural advice are some of these contributary factors. Deprivation also plays a key role with higher rates observed in more deprived areas yet fewer conceptions leading to termination. </w:t>
      </w:r>
    </w:p>
    <w:p w14:paraId="019134AD" w14:textId="77777777" w:rsidR="00DD7D30" w:rsidRPr="009369EF" w:rsidRDefault="00DD7D30" w:rsidP="00B777CD">
      <w:pPr>
        <w:jc w:val="both"/>
        <w:rPr>
          <w:rFonts w:ascii="Arial" w:hAnsi="Arial" w:cs="Arial"/>
          <w:color w:val="000000" w:themeColor="text1"/>
          <w:sz w:val="28"/>
          <w:szCs w:val="28"/>
        </w:rPr>
      </w:pPr>
      <w:r w:rsidRPr="009369EF">
        <w:rPr>
          <w:rFonts w:ascii="Arial" w:hAnsi="Arial" w:cs="Arial"/>
          <w:color w:val="000000" w:themeColor="text1"/>
          <w:sz w:val="28"/>
          <w:szCs w:val="28"/>
        </w:rPr>
        <w:t xml:space="preserve">A small cohort of teenage women find pregnancy a positive experience. For others however the experience is more challenging. Young mothers are more likely to have poorer education outcomes including fewer qualifications and a greater likelihood of long-term unemployment. They are also more likely to experience poverty and post-natal depression. Adolescent mothers are also at a higher risk of developing complications such as stillbirth, </w:t>
      </w:r>
      <w:proofErr w:type="gramStart"/>
      <w:r w:rsidRPr="009369EF">
        <w:rPr>
          <w:rFonts w:ascii="Arial" w:hAnsi="Arial" w:cs="Arial"/>
          <w:color w:val="000000" w:themeColor="text1"/>
          <w:sz w:val="28"/>
          <w:szCs w:val="28"/>
        </w:rPr>
        <w:t>eclampsia</w:t>
      </w:r>
      <w:proofErr w:type="gramEnd"/>
      <w:r w:rsidRPr="009369EF">
        <w:rPr>
          <w:rFonts w:ascii="Arial" w:hAnsi="Arial" w:cs="Arial"/>
          <w:color w:val="000000" w:themeColor="text1"/>
          <w:sz w:val="28"/>
          <w:szCs w:val="28"/>
        </w:rPr>
        <w:t xml:space="preserve"> and systemic infections than in older mothers. </w:t>
      </w:r>
      <w:r w:rsidRPr="009369EF">
        <w:rPr>
          <w:rFonts w:ascii="Arial" w:hAnsi="Arial" w:cs="Arial"/>
          <w:color w:val="000000" w:themeColor="text1"/>
          <w:sz w:val="28"/>
          <w:szCs w:val="28"/>
        </w:rPr>
        <w:lastRenderedPageBreak/>
        <w:t xml:space="preserve">Babies of adolescent mothers are also at increased risk of low birth weight, preterm </w:t>
      </w:r>
      <w:proofErr w:type="gramStart"/>
      <w:r w:rsidRPr="009369EF">
        <w:rPr>
          <w:rFonts w:ascii="Arial" w:hAnsi="Arial" w:cs="Arial"/>
          <w:color w:val="000000" w:themeColor="text1"/>
          <w:sz w:val="28"/>
          <w:szCs w:val="28"/>
        </w:rPr>
        <w:t>birth</w:t>
      </w:r>
      <w:proofErr w:type="gramEnd"/>
      <w:r w:rsidRPr="009369EF">
        <w:rPr>
          <w:rFonts w:ascii="Arial" w:hAnsi="Arial" w:cs="Arial"/>
          <w:color w:val="000000" w:themeColor="text1"/>
          <w:sz w:val="28"/>
          <w:szCs w:val="28"/>
        </w:rPr>
        <w:t xml:space="preserve"> and severe neonatal illness.</w:t>
      </w:r>
      <w:r w:rsidRPr="009369EF">
        <w:rPr>
          <w:rStyle w:val="FootnoteReference"/>
          <w:rFonts w:ascii="Arial" w:hAnsi="Arial" w:cs="Arial"/>
          <w:color w:val="000000" w:themeColor="text1"/>
          <w:sz w:val="28"/>
          <w:szCs w:val="28"/>
        </w:rPr>
        <w:footnoteReference w:id="22"/>
      </w:r>
      <w:r w:rsidRPr="009369EF">
        <w:rPr>
          <w:rFonts w:ascii="Arial" w:hAnsi="Arial" w:cs="Arial"/>
          <w:color w:val="000000" w:themeColor="text1"/>
          <w:sz w:val="28"/>
          <w:szCs w:val="28"/>
        </w:rPr>
        <w:t xml:space="preserve"> Teenagers are also most likely to present late for antenatal care and for abortion services. Efforts to minimise late pregnancy diagnosis and therefore delayed referrals to maternity or abortion services should be prioritised. </w:t>
      </w:r>
    </w:p>
    <w:p w14:paraId="3A9E8AEB" w14:textId="77777777" w:rsidR="00DD7D30" w:rsidRDefault="00DD7D30" w:rsidP="00B777CD">
      <w:pPr>
        <w:jc w:val="both"/>
        <w:rPr>
          <w:rFonts w:ascii="Arial" w:hAnsi="Arial" w:cs="Arial"/>
          <w:sz w:val="28"/>
          <w:szCs w:val="28"/>
        </w:rPr>
      </w:pPr>
      <w:r w:rsidRPr="009369EF">
        <w:rPr>
          <w:rFonts w:ascii="Arial" w:hAnsi="Arial" w:cs="Arial"/>
          <w:color w:val="000000" w:themeColor="text1"/>
          <w:sz w:val="28"/>
          <w:szCs w:val="28"/>
        </w:rPr>
        <w:t>The introduction of the Teenage Pregnancy Strategy in 1999 has seen a 66.3% national reduction in under-18 conception rates between 1998 and 2019 its success being recognised by WHO.</w:t>
      </w:r>
      <w:r w:rsidRPr="009369EF">
        <w:rPr>
          <w:rStyle w:val="FootnoteReference"/>
          <w:rFonts w:ascii="Arial" w:hAnsi="Arial" w:cs="Arial"/>
          <w:color w:val="000000" w:themeColor="text1"/>
          <w:sz w:val="28"/>
          <w:szCs w:val="28"/>
        </w:rPr>
        <w:footnoteReference w:id="23"/>
      </w:r>
      <w:r w:rsidRPr="009369EF">
        <w:rPr>
          <w:rFonts w:ascii="Arial" w:hAnsi="Arial" w:cs="Arial"/>
          <w:color w:val="000000" w:themeColor="text1"/>
          <w:sz w:val="28"/>
          <w:szCs w:val="28"/>
        </w:rPr>
        <w:t xml:space="preserve"> Nonetheless, England rates are higher than in other Western countries and maintaining a downward trend is a priority for the Framework for Sexual Health Improvement in England.</w:t>
      </w:r>
      <w:r w:rsidRPr="009369EF">
        <w:rPr>
          <w:rStyle w:val="FootnoteReference"/>
          <w:rFonts w:ascii="Arial" w:hAnsi="Arial" w:cs="Arial"/>
          <w:color w:val="000000" w:themeColor="text1"/>
          <w:sz w:val="28"/>
          <w:szCs w:val="28"/>
        </w:rPr>
        <w:footnoteReference w:id="24"/>
      </w:r>
      <w:r w:rsidRPr="009369EF">
        <w:rPr>
          <w:rFonts w:ascii="Arial" w:hAnsi="Arial" w:cs="Arial"/>
          <w:color w:val="000000" w:themeColor="text1"/>
          <w:sz w:val="28"/>
          <w:szCs w:val="28"/>
        </w:rPr>
        <w:t xml:space="preserve"> The framework addresses a number of key public health priorities including the reduction of health </w:t>
      </w:r>
      <w:r>
        <w:rPr>
          <w:rFonts w:ascii="Arial" w:hAnsi="Arial" w:cs="Arial"/>
          <w:sz w:val="28"/>
          <w:szCs w:val="28"/>
        </w:rPr>
        <w:t xml:space="preserve">inequalities, improving access to sexual and reproductive health advice, and ensuring children have the best starts in life. </w:t>
      </w:r>
    </w:p>
    <w:p w14:paraId="6F442A71" w14:textId="77777777" w:rsidR="00DD7D30" w:rsidRDefault="00DD7D30" w:rsidP="00B777CD">
      <w:pPr>
        <w:jc w:val="both"/>
        <w:rPr>
          <w:rFonts w:ascii="Arial" w:hAnsi="Arial" w:cs="Arial"/>
          <w:sz w:val="28"/>
          <w:szCs w:val="28"/>
        </w:rPr>
      </w:pPr>
      <w:r>
        <w:rPr>
          <w:noProof/>
        </w:rPr>
        <mc:AlternateContent>
          <mc:Choice Requires="wps">
            <w:drawing>
              <wp:anchor distT="0" distB="0" distL="114300" distR="114300" simplePos="0" relativeHeight="251661312" behindDoc="1" locked="0" layoutInCell="1" allowOverlap="1" wp14:anchorId="4AA0A387" wp14:editId="0FAE5613">
                <wp:simplePos x="0" y="0"/>
                <wp:positionH relativeFrom="column">
                  <wp:posOffset>-681990</wp:posOffset>
                </wp:positionH>
                <wp:positionV relativeFrom="paragraph">
                  <wp:posOffset>1854835</wp:posOffset>
                </wp:positionV>
                <wp:extent cx="7053580" cy="635"/>
                <wp:effectExtent l="0" t="0" r="0" b="0"/>
                <wp:wrapTight wrapText="bothSides">
                  <wp:wrapPolygon edited="0">
                    <wp:start x="0" y="0"/>
                    <wp:lineTo x="0" y="21600"/>
                    <wp:lineTo x="21600" y="21600"/>
                    <wp:lineTo x="21600" y="0"/>
                  </wp:wrapPolygon>
                </wp:wrapTight>
                <wp:docPr id="16" name="Text Box 16"/>
                <wp:cNvGraphicFramePr/>
                <a:graphic xmlns:a="http://schemas.openxmlformats.org/drawingml/2006/main">
                  <a:graphicData uri="http://schemas.microsoft.com/office/word/2010/wordprocessingShape">
                    <wps:wsp>
                      <wps:cNvSpPr txBox="1"/>
                      <wps:spPr>
                        <a:xfrm>
                          <a:off x="0" y="0"/>
                          <a:ext cx="7053580" cy="635"/>
                        </a:xfrm>
                        <a:prstGeom prst="rect">
                          <a:avLst/>
                        </a:prstGeom>
                        <a:solidFill>
                          <a:prstClr val="white"/>
                        </a:solidFill>
                        <a:ln>
                          <a:noFill/>
                        </a:ln>
                      </wps:spPr>
                      <wps:txbx>
                        <w:txbxContent>
                          <w:p w14:paraId="6062BF13" w14:textId="08C39FD8" w:rsidR="00DD7D30" w:rsidRPr="00A47F6C" w:rsidRDefault="00DD7D30" w:rsidP="00DD7D30">
                            <w:pPr>
                              <w:pStyle w:val="Caption"/>
                              <w:rPr>
                                <w:noProof/>
                              </w:rPr>
                            </w:pPr>
                            <w:r>
                              <w:t xml:space="preserve">Figure </w:t>
                            </w:r>
                            <w:fldSimple w:instr=" SEQ Figure \* ARABIC ">
                              <w:r w:rsidR="00A401A2">
                                <w:rPr>
                                  <w:noProof/>
                                </w:rPr>
                                <w:t>15</w:t>
                              </w:r>
                            </w:fldSimple>
                            <w:r>
                              <w:t>: Chart showing under-18s conception indicators in York compared with England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A0A387" id="Text Box 16" o:spid="_x0000_s1027" type="#_x0000_t202" style="position:absolute;left:0;text-align:left;margin-left:-53.7pt;margin-top:146.05pt;width:555.4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" stroked="f">
                <v:textbox style="mso-fit-shape-to-text:t" inset="0,0,0,0">
                  <w:txbxContent>
                    <w:p w14:paraId="6062BF13" w14:textId="08C39FD8" w:rsidR="00DD7D30" w:rsidRPr="00A47F6C" w:rsidRDefault="00DD7D30" w:rsidP="00DD7D30">
                      <w:pPr>
                        <w:pStyle w:val="Caption"/>
                        <w:rPr>
                          <w:noProof/>
                        </w:rPr>
                      </w:pPr>
                      <w:r>
                        <w:t xml:space="preserve">Figure </w:t>
                      </w:r>
                      <w:fldSimple w:instr=" SEQ Figure \* ARABIC ">
                        <w:r w:rsidR="00A401A2">
                          <w:rPr>
                            <w:noProof/>
                          </w:rPr>
                          <w:t>15</w:t>
                        </w:r>
                      </w:fldSimple>
                      <w:r>
                        <w:t>: Chart showing under-18s conception indicators in York compared with England</w:t>
                      </w:r>
                    </w:p>
                  </w:txbxContent>
                </v:textbox>
                <w10:wrap type="tight"/>
              </v:shape>
            </w:pict>
          </mc:Fallback>
        </mc:AlternateContent>
      </w:r>
      <w:r>
        <w:rPr>
          <w:noProof/>
        </w:rPr>
        <w:drawing>
          <wp:anchor distT="0" distB="0" distL="114300" distR="114300" simplePos="0" relativeHeight="251660288" behindDoc="1" locked="0" layoutInCell="1" allowOverlap="1" wp14:anchorId="2E28DD30" wp14:editId="70BA3C72">
            <wp:simplePos x="0" y="0"/>
            <wp:positionH relativeFrom="column">
              <wp:posOffset>-681990</wp:posOffset>
            </wp:positionH>
            <wp:positionV relativeFrom="paragraph">
              <wp:posOffset>669925</wp:posOffset>
            </wp:positionV>
            <wp:extent cx="7054166" cy="1127760"/>
            <wp:effectExtent l="0" t="0" r="0" b="0"/>
            <wp:wrapTight wrapText="bothSides">
              <wp:wrapPolygon edited="0">
                <wp:start x="0" y="0"/>
                <wp:lineTo x="0" y="21162"/>
                <wp:lineTo x="21526" y="21162"/>
                <wp:lineTo x="2152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54166" cy="1127760"/>
                    </a:xfrm>
                    <a:prstGeom prst="rect">
                      <a:avLst/>
                    </a:prstGeom>
                    <a:noFill/>
                    <a:ln>
                      <a:noFill/>
                    </a:ln>
                  </pic:spPr>
                </pic:pic>
              </a:graphicData>
            </a:graphic>
          </wp:anchor>
        </w:drawing>
      </w:r>
      <w:r>
        <w:rPr>
          <w:rFonts w:ascii="Arial" w:hAnsi="Arial" w:cs="Arial"/>
          <w:sz w:val="28"/>
          <w:szCs w:val="28"/>
        </w:rPr>
        <w:t xml:space="preserve"> </w:t>
      </w:r>
    </w:p>
    <w:p w14:paraId="251D2AE3" w14:textId="77777777" w:rsidR="00DD7D30" w:rsidRDefault="00DD7D30" w:rsidP="00B777CD">
      <w:pPr>
        <w:jc w:val="both"/>
        <w:rPr>
          <w:rFonts w:ascii="Arial" w:hAnsi="Arial" w:cs="Arial"/>
          <w:sz w:val="28"/>
          <w:szCs w:val="28"/>
        </w:rPr>
      </w:pPr>
    </w:p>
    <w:p w14:paraId="6B03076D" w14:textId="77777777" w:rsidR="00DD7D30" w:rsidRPr="009369EF" w:rsidRDefault="00DD7D30" w:rsidP="00B777CD">
      <w:pPr>
        <w:jc w:val="both"/>
        <w:rPr>
          <w:rFonts w:ascii="Arial" w:hAnsi="Arial" w:cs="Arial"/>
          <w:color w:val="000000" w:themeColor="text1"/>
          <w:sz w:val="28"/>
          <w:szCs w:val="28"/>
          <w:shd w:val="clear" w:color="auto" w:fill="FFFFFF"/>
        </w:rPr>
      </w:pPr>
      <w:r w:rsidRPr="009369EF">
        <w:rPr>
          <w:rFonts w:ascii="Arial" w:hAnsi="Arial" w:cs="Arial"/>
          <w:color w:val="000000" w:themeColor="text1"/>
          <w:sz w:val="28"/>
          <w:szCs w:val="28"/>
          <w:shd w:val="clear" w:color="auto" w:fill="FFFFFF"/>
        </w:rPr>
        <w:t>In </w:t>
      </w:r>
      <w:r w:rsidRPr="009369EF">
        <w:rPr>
          <w:rStyle w:val="dynamic"/>
          <w:rFonts w:ascii="Arial" w:hAnsi="Arial" w:cs="Arial"/>
          <w:color w:val="000000" w:themeColor="text1"/>
          <w:sz w:val="28"/>
          <w:szCs w:val="28"/>
        </w:rPr>
        <w:t>2019</w:t>
      </w:r>
      <w:r w:rsidRPr="009369EF">
        <w:rPr>
          <w:rFonts w:ascii="Arial" w:hAnsi="Arial" w:cs="Arial"/>
          <w:color w:val="000000" w:themeColor="text1"/>
          <w:sz w:val="28"/>
          <w:szCs w:val="28"/>
          <w:shd w:val="clear" w:color="auto" w:fill="FFFFFF"/>
        </w:rPr>
        <w:t>, the under-18s conception rate per 1,000 females aged 15 to 17 years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shd w:val="clear" w:color="auto" w:fill="FFFFFF"/>
        </w:rPr>
        <w:t> was </w:t>
      </w:r>
      <w:r w:rsidRPr="009369EF">
        <w:rPr>
          <w:rStyle w:val="dynamic"/>
          <w:rFonts w:ascii="Arial" w:hAnsi="Arial" w:cs="Arial"/>
          <w:color w:val="000000" w:themeColor="text1"/>
          <w:sz w:val="28"/>
          <w:szCs w:val="28"/>
        </w:rPr>
        <w:t>16.4</w:t>
      </w:r>
      <w:r w:rsidRPr="009369EF">
        <w:rPr>
          <w:rFonts w:ascii="Arial" w:hAnsi="Arial" w:cs="Arial"/>
          <w:color w:val="000000" w:themeColor="text1"/>
          <w:sz w:val="28"/>
          <w:szCs w:val="28"/>
          <w:shd w:val="clear" w:color="auto" w:fill="FFFFFF"/>
        </w:rPr>
        <w:t>, </w:t>
      </w:r>
      <w:proofErr w:type="gramStart"/>
      <w:r w:rsidRPr="009369EF">
        <w:rPr>
          <w:rStyle w:val="dynamic"/>
          <w:rFonts w:ascii="Arial" w:hAnsi="Arial" w:cs="Arial"/>
          <w:color w:val="000000" w:themeColor="text1"/>
          <w:sz w:val="28"/>
          <w:szCs w:val="28"/>
        </w:rPr>
        <w:t>similar to</w:t>
      </w:r>
      <w:proofErr w:type="gramEnd"/>
      <w:r w:rsidRPr="009369EF">
        <w:rPr>
          <w:rFonts w:ascii="Arial" w:hAnsi="Arial" w:cs="Arial"/>
          <w:color w:val="000000" w:themeColor="text1"/>
          <w:sz w:val="28"/>
          <w:szCs w:val="28"/>
          <w:shd w:val="clear" w:color="auto" w:fill="FFFFFF"/>
        </w:rPr>
        <w:t> the rate of </w:t>
      </w:r>
      <w:r w:rsidRPr="009369EF">
        <w:rPr>
          <w:rStyle w:val="dynamic"/>
          <w:rFonts w:ascii="Arial" w:hAnsi="Arial" w:cs="Arial"/>
          <w:color w:val="000000" w:themeColor="text1"/>
          <w:sz w:val="28"/>
          <w:szCs w:val="28"/>
        </w:rPr>
        <w:t>15.7</w:t>
      </w:r>
      <w:r w:rsidRPr="009369EF">
        <w:rPr>
          <w:rFonts w:ascii="Arial" w:hAnsi="Arial" w:cs="Arial"/>
          <w:color w:val="000000" w:themeColor="text1"/>
          <w:sz w:val="28"/>
          <w:szCs w:val="28"/>
          <w:shd w:val="clear" w:color="auto" w:fill="FFFFFF"/>
        </w:rPr>
        <w:t> per 1,000 in England. The </w:t>
      </w:r>
      <w:r w:rsidRPr="009369EF">
        <w:rPr>
          <w:rStyle w:val="dynamic"/>
          <w:rFonts w:ascii="Arial" w:hAnsi="Arial" w:cs="Arial"/>
          <w:color w:val="000000" w:themeColor="text1"/>
          <w:sz w:val="28"/>
          <w:szCs w:val="28"/>
        </w:rPr>
        <w:t>increase</w:t>
      </w:r>
      <w:r w:rsidRPr="009369EF">
        <w:rPr>
          <w:rFonts w:ascii="Arial" w:hAnsi="Arial" w:cs="Arial"/>
          <w:color w:val="000000" w:themeColor="text1"/>
          <w:sz w:val="28"/>
          <w:szCs w:val="28"/>
          <w:shd w:val="clear" w:color="auto" w:fill="FFFFFF"/>
        </w:rPr>
        <w:t> from </w:t>
      </w:r>
      <w:r w:rsidRPr="009369EF">
        <w:rPr>
          <w:rStyle w:val="dynamic"/>
          <w:rFonts w:ascii="Arial" w:hAnsi="Arial" w:cs="Arial"/>
          <w:color w:val="000000" w:themeColor="text1"/>
          <w:sz w:val="28"/>
          <w:szCs w:val="28"/>
        </w:rPr>
        <w:t>2018</w:t>
      </w:r>
      <w:r w:rsidRPr="009369EF">
        <w:rPr>
          <w:rFonts w:ascii="Arial" w:hAnsi="Arial" w:cs="Arial"/>
          <w:color w:val="000000" w:themeColor="text1"/>
          <w:sz w:val="28"/>
          <w:szCs w:val="28"/>
          <w:shd w:val="clear" w:color="auto" w:fill="FFFFFF"/>
        </w:rPr>
        <w:t> was </w:t>
      </w:r>
      <w:r w:rsidRPr="009369EF">
        <w:rPr>
          <w:rStyle w:val="dynamic"/>
          <w:rFonts w:ascii="Arial" w:hAnsi="Arial" w:cs="Arial"/>
          <w:color w:val="000000" w:themeColor="text1"/>
          <w:sz w:val="28"/>
          <w:szCs w:val="28"/>
        </w:rPr>
        <w:t>2%</w:t>
      </w:r>
      <w:r w:rsidRPr="009369EF">
        <w:rPr>
          <w:rFonts w:ascii="Arial" w:hAnsi="Arial" w:cs="Arial"/>
          <w:color w:val="000000" w:themeColor="text1"/>
          <w:sz w:val="28"/>
          <w:szCs w:val="28"/>
          <w:shd w:val="clear" w:color="auto" w:fill="FFFFFF"/>
        </w:rPr>
        <w:t>. The rank within England for the under-18s conception rate was </w:t>
      </w:r>
      <w:r w:rsidRPr="009369EF">
        <w:rPr>
          <w:rStyle w:val="dynamic"/>
          <w:rFonts w:ascii="Arial" w:hAnsi="Arial" w:cs="Arial"/>
          <w:color w:val="000000" w:themeColor="text1"/>
          <w:sz w:val="28"/>
          <w:szCs w:val="28"/>
        </w:rPr>
        <w:t>76th highest</w:t>
      </w:r>
      <w:r w:rsidRPr="009369EF">
        <w:rPr>
          <w:rFonts w:ascii="Arial" w:hAnsi="Arial" w:cs="Arial"/>
          <w:color w:val="000000" w:themeColor="text1"/>
          <w:sz w:val="28"/>
          <w:szCs w:val="28"/>
          <w:shd w:val="clear" w:color="auto" w:fill="FFFFFF"/>
        </w:rPr>
        <w:t> (out of </w:t>
      </w:r>
      <w:r w:rsidRPr="009369EF">
        <w:rPr>
          <w:rStyle w:val="dynamic"/>
          <w:rFonts w:ascii="Arial" w:hAnsi="Arial" w:cs="Arial"/>
          <w:color w:val="000000" w:themeColor="text1"/>
          <w:sz w:val="28"/>
          <w:szCs w:val="28"/>
        </w:rPr>
        <w:t>149</w:t>
      </w:r>
      <w:r w:rsidRPr="009369EF">
        <w:rPr>
          <w:rFonts w:ascii="Arial" w:hAnsi="Arial" w:cs="Arial"/>
          <w:color w:val="000000" w:themeColor="text1"/>
          <w:sz w:val="28"/>
          <w:szCs w:val="28"/>
          <w:shd w:val="clear" w:color="auto" w:fill="FFFFFF"/>
        </w:rPr>
        <w:t> UTLAs/UAs). Between </w:t>
      </w:r>
      <w:r w:rsidRPr="009369EF">
        <w:rPr>
          <w:rStyle w:val="dynamic"/>
          <w:rFonts w:ascii="Arial" w:hAnsi="Arial" w:cs="Arial"/>
          <w:color w:val="000000" w:themeColor="text1"/>
          <w:sz w:val="28"/>
          <w:szCs w:val="28"/>
        </w:rPr>
        <w:t>1998</w:t>
      </w:r>
      <w:r w:rsidRPr="009369EF">
        <w:rPr>
          <w:rFonts w:ascii="Arial" w:hAnsi="Arial" w:cs="Arial"/>
          <w:color w:val="000000" w:themeColor="text1"/>
          <w:sz w:val="28"/>
          <w:szCs w:val="28"/>
          <w:shd w:val="clear" w:color="auto" w:fill="FFFFFF"/>
        </w:rPr>
        <w:t> and </w:t>
      </w:r>
      <w:r w:rsidRPr="009369EF">
        <w:rPr>
          <w:rStyle w:val="dynamic"/>
          <w:rFonts w:ascii="Arial" w:hAnsi="Arial" w:cs="Arial"/>
          <w:color w:val="000000" w:themeColor="text1"/>
          <w:sz w:val="28"/>
          <w:szCs w:val="28"/>
        </w:rPr>
        <w:t>2019</w:t>
      </w:r>
      <w:r w:rsidRPr="009369EF">
        <w:rPr>
          <w:rFonts w:ascii="Arial" w:hAnsi="Arial" w:cs="Arial"/>
          <w:color w:val="000000" w:themeColor="text1"/>
          <w:sz w:val="28"/>
          <w:szCs w:val="28"/>
          <w:shd w:val="clear" w:color="auto" w:fill="FFFFFF"/>
        </w:rPr>
        <w:t>, the </w:t>
      </w:r>
      <w:r w:rsidRPr="009369EF">
        <w:rPr>
          <w:rStyle w:val="dynamic"/>
          <w:rFonts w:ascii="Arial" w:hAnsi="Arial" w:cs="Arial"/>
          <w:color w:val="000000" w:themeColor="text1"/>
          <w:sz w:val="28"/>
          <w:szCs w:val="28"/>
        </w:rPr>
        <w:t>decrease</w:t>
      </w:r>
      <w:r w:rsidRPr="009369EF">
        <w:rPr>
          <w:rFonts w:ascii="Arial" w:hAnsi="Arial" w:cs="Arial"/>
          <w:color w:val="000000" w:themeColor="text1"/>
          <w:sz w:val="28"/>
          <w:szCs w:val="28"/>
          <w:shd w:val="clear" w:color="auto" w:fill="FFFFFF"/>
        </w:rPr>
        <w:t> in the under-18s conception rate in </w:t>
      </w:r>
      <w:r w:rsidRPr="009369EF">
        <w:rPr>
          <w:rStyle w:val="dynamic"/>
          <w:rFonts w:ascii="Arial" w:hAnsi="Arial" w:cs="Arial"/>
          <w:color w:val="000000" w:themeColor="text1"/>
          <w:sz w:val="28"/>
          <w:szCs w:val="28"/>
        </w:rPr>
        <w:t>York</w:t>
      </w:r>
      <w:r w:rsidRPr="009369EF">
        <w:rPr>
          <w:rFonts w:ascii="Arial" w:hAnsi="Arial" w:cs="Arial"/>
          <w:color w:val="000000" w:themeColor="text1"/>
          <w:sz w:val="28"/>
          <w:szCs w:val="28"/>
          <w:shd w:val="clear" w:color="auto" w:fill="FFFFFF"/>
        </w:rPr>
        <w:t> was </w:t>
      </w:r>
      <w:r w:rsidRPr="009369EF">
        <w:rPr>
          <w:rStyle w:val="dynamic"/>
          <w:rFonts w:ascii="Arial" w:hAnsi="Arial" w:cs="Arial"/>
          <w:color w:val="000000" w:themeColor="text1"/>
          <w:sz w:val="28"/>
          <w:szCs w:val="28"/>
        </w:rPr>
        <w:t>52%</w:t>
      </w:r>
      <w:r w:rsidRPr="009369EF">
        <w:rPr>
          <w:rFonts w:ascii="Arial" w:hAnsi="Arial" w:cs="Arial"/>
          <w:color w:val="000000" w:themeColor="text1"/>
          <w:sz w:val="28"/>
          <w:szCs w:val="28"/>
          <w:shd w:val="clear" w:color="auto" w:fill="FFFFFF"/>
        </w:rPr>
        <w:t>, compared to a 66% decrease in England.</w:t>
      </w:r>
    </w:p>
    <w:p w14:paraId="6E40CCF1" w14:textId="77777777" w:rsidR="00DD7D30" w:rsidRPr="009369EF" w:rsidRDefault="00DD7D30" w:rsidP="00B777CD">
      <w:pPr>
        <w:jc w:val="both"/>
        <w:rPr>
          <w:rFonts w:ascii="Arial" w:hAnsi="Arial" w:cs="Arial"/>
          <w:color w:val="000000" w:themeColor="text1"/>
          <w:sz w:val="28"/>
          <w:szCs w:val="28"/>
          <w:shd w:val="clear" w:color="auto" w:fill="FFFFFF"/>
        </w:rPr>
      </w:pPr>
      <w:r w:rsidRPr="009369EF">
        <w:rPr>
          <w:rFonts w:ascii="Arial" w:hAnsi="Arial" w:cs="Arial"/>
          <w:color w:val="000000" w:themeColor="text1"/>
          <w:sz w:val="28"/>
          <w:szCs w:val="28"/>
          <w:shd w:val="clear" w:color="auto" w:fill="FFFFFF"/>
        </w:rPr>
        <w:t xml:space="preserve">Teenage conceptions leading to abortion have consistently followed national trends of approximately 50%. </w:t>
      </w:r>
    </w:p>
    <w:p w14:paraId="47032C91" w14:textId="77777777" w:rsidR="00DD7D30" w:rsidRDefault="00DD7D30" w:rsidP="00B777CD">
      <w:pPr>
        <w:jc w:val="both"/>
        <w:rPr>
          <w:rFonts w:ascii="Arial" w:hAnsi="Arial" w:cs="Arial"/>
          <w:color w:val="222222"/>
          <w:sz w:val="28"/>
          <w:szCs w:val="28"/>
          <w:shd w:val="clear" w:color="auto" w:fill="FFFFFF"/>
        </w:rPr>
      </w:pPr>
      <w:r>
        <w:rPr>
          <w:rFonts w:ascii="Arial" w:hAnsi="Arial" w:cs="Arial"/>
          <w:noProof/>
          <w:color w:val="222222"/>
          <w:sz w:val="28"/>
          <w:szCs w:val="28"/>
          <w:shd w:val="clear" w:color="auto" w:fill="FFFFFF"/>
        </w:rPr>
        <w:lastRenderedPageBreak/>
        <w:drawing>
          <wp:inline distT="0" distB="0" distL="0" distR="0" wp14:anchorId="33ADE297" wp14:editId="30DA9A64">
            <wp:extent cx="5731510" cy="4298315"/>
            <wp:effectExtent l="0" t="0" r="2540" b="6985"/>
            <wp:docPr id="17" name="Picture 1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5FD1899F" w14:textId="69C782F6" w:rsidR="00DD7D30" w:rsidRDefault="00DD7D30" w:rsidP="00B777CD">
      <w:pPr>
        <w:pStyle w:val="Caption"/>
        <w:jc w:val="both"/>
      </w:pPr>
      <w:r>
        <w:t xml:space="preserve">Figure </w:t>
      </w:r>
      <w:fldSimple w:instr=" SEQ Figure \* ARABIC ">
        <w:r w:rsidR="00A401A2">
          <w:rPr>
            <w:noProof/>
          </w:rPr>
          <w:t>16</w:t>
        </w:r>
      </w:fldSimple>
      <w:r>
        <w:t>: Under 18s rate of conceptions leading to abortion (%)</w:t>
      </w:r>
    </w:p>
    <w:p w14:paraId="04997587" w14:textId="77777777" w:rsidR="00DD7D30" w:rsidRDefault="00DD7D30" w:rsidP="00B777CD">
      <w:pPr>
        <w:jc w:val="both"/>
      </w:pPr>
    </w:p>
    <w:p w14:paraId="0E3E6A94" w14:textId="77777777" w:rsidR="00DD7D30" w:rsidRDefault="00DD7D30" w:rsidP="00B777CD">
      <w:pPr>
        <w:jc w:val="both"/>
      </w:pPr>
      <w:r>
        <w:rPr>
          <w:noProof/>
        </w:rPr>
        <w:drawing>
          <wp:inline distT="0" distB="0" distL="0" distR="0" wp14:anchorId="4D61B882" wp14:editId="38F02653">
            <wp:extent cx="5731510" cy="2845435"/>
            <wp:effectExtent l="0" t="0" r="2540" b="12065"/>
            <wp:docPr id="21" name="Chart 21">
              <a:extLst xmlns:a="http://schemas.openxmlformats.org/drawingml/2006/main">
                <a:ext uri="{FF2B5EF4-FFF2-40B4-BE49-F238E27FC236}">
                  <a16:creationId xmlns:a16="http://schemas.microsoft.com/office/drawing/2014/main" id="{54601123-D956-46E9-922E-6FEFC6310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B8B5B87" w14:textId="0070AF93" w:rsidR="00DD7D30" w:rsidRDefault="00DD7D30" w:rsidP="00B777CD">
      <w:pPr>
        <w:pStyle w:val="Caption"/>
        <w:jc w:val="both"/>
      </w:pPr>
      <w:r>
        <w:t xml:space="preserve">Figure </w:t>
      </w:r>
      <w:fldSimple w:instr=" SEQ Figure \* ARABIC ">
        <w:r w:rsidR="00A401A2">
          <w:rPr>
            <w:noProof/>
          </w:rPr>
          <w:t>17</w:t>
        </w:r>
      </w:fldSimple>
      <w:r>
        <w:t>: Teenage pregnancies by ward in York</w:t>
      </w:r>
    </w:p>
    <w:p w14:paraId="1766D744" w14:textId="6FCDA823" w:rsidR="00A43581" w:rsidRDefault="00DD7D30" w:rsidP="00B777CD">
      <w:pPr>
        <w:jc w:val="both"/>
        <w:rPr>
          <w:rFonts w:ascii="Arial" w:hAnsi="Arial" w:cs="Arial"/>
          <w:sz w:val="28"/>
          <w:szCs w:val="28"/>
        </w:rPr>
      </w:pPr>
      <w:r w:rsidRPr="00222AE8">
        <w:rPr>
          <w:rFonts w:ascii="Arial" w:hAnsi="Arial" w:cs="Arial"/>
          <w:sz w:val="28"/>
          <w:szCs w:val="28"/>
        </w:rPr>
        <w:t>Figure 1</w:t>
      </w:r>
      <w:r w:rsidR="00A401A2">
        <w:rPr>
          <w:rFonts w:ascii="Arial" w:hAnsi="Arial" w:cs="Arial"/>
          <w:sz w:val="28"/>
          <w:szCs w:val="28"/>
        </w:rPr>
        <w:t>7</w:t>
      </w:r>
      <w:r>
        <w:rPr>
          <w:rFonts w:ascii="Arial" w:hAnsi="Arial" w:cs="Arial"/>
          <w:sz w:val="28"/>
          <w:szCs w:val="28"/>
        </w:rPr>
        <w:t xml:space="preserve"> shows the percentage rate of teenage pregnancies by ward in York. The highest rates are observed in Acomb and Hull Road wards which are ranked 8</w:t>
      </w:r>
      <w:r w:rsidRPr="00222AE8">
        <w:rPr>
          <w:rFonts w:ascii="Arial" w:hAnsi="Arial" w:cs="Arial"/>
          <w:sz w:val="28"/>
          <w:szCs w:val="28"/>
          <w:vertAlign w:val="superscript"/>
        </w:rPr>
        <w:t>th</w:t>
      </w:r>
      <w:r>
        <w:rPr>
          <w:rFonts w:ascii="Arial" w:hAnsi="Arial" w:cs="Arial"/>
          <w:sz w:val="28"/>
          <w:szCs w:val="28"/>
        </w:rPr>
        <w:t xml:space="preserve"> and 9</w:t>
      </w:r>
      <w:r w:rsidRPr="00222AE8">
        <w:rPr>
          <w:rFonts w:ascii="Arial" w:hAnsi="Arial" w:cs="Arial"/>
          <w:sz w:val="28"/>
          <w:szCs w:val="28"/>
          <w:vertAlign w:val="superscript"/>
        </w:rPr>
        <w:t>th</w:t>
      </w:r>
      <w:r>
        <w:rPr>
          <w:rFonts w:ascii="Arial" w:hAnsi="Arial" w:cs="Arial"/>
          <w:sz w:val="28"/>
          <w:szCs w:val="28"/>
          <w:vertAlign w:val="superscript"/>
        </w:rPr>
        <w:t xml:space="preserve"> </w:t>
      </w:r>
      <w:r>
        <w:rPr>
          <w:rFonts w:ascii="Arial" w:hAnsi="Arial" w:cs="Arial"/>
          <w:sz w:val="28"/>
          <w:szCs w:val="28"/>
        </w:rPr>
        <w:t xml:space="preserve">out of 21 respectively in the 2019 Indices of </w:t>
      </w:r>
      <w:r>
        <w:rPr>
          <w:rFonts w:ascii="Arial" w:hAnsi="Arial" w:cs="Arial"/>
          <w:sz w:val="28"/>
          <w:szCs w:val="28"/>
        </w:rPr>
        <w:lastRenderedPageBreak/>
        <w:t xml:space="preserve">Multiple Deprivation (IMD) domains. The wards of Fishergate, Westfield, Holgate, and </w:t>
      </w:r>
      <w:proofErr w:type="spellStart"/>
      <w:r>
        <w:rPr>
          <w:rFonts w:ascii="Arial" w:hAnsi="Arial" w:cs="Arial"/>
          <w:sz w:val="28"/>
          <w:szCs w:val="28"/>
        </w:rPr>
        <w:t>Huntinton</w:t>
      </w:r>
      <w:proofErr w:type="spellEnd"/>
      <w:r>
        <w:rPr>
          <w:rFonts w:ascii="Arial" w:hAnsi="Arial" w:cs="Arial"/>
          <w:sz w:val="28"/>
          <w:szCs w:val="28"/>
        </w:rPr>
        <w:t xml:space="preserve"> &amp; New </w:t>
      </w:r>
      <w:proofErr w:type="spellStart"/>
      <w:r>
        <w:rPr>
          <w:rFonts w:ascii="Arial" w:hAnsi="Arial" w:cs="Arial"/>
          <w:sz w:val="28"/>
          <w:szCs w:val="28"/>
        </w:rPr>
        <w:t>Earswick</w:t>
      </w:r>
      <w:proofErr w:type="spellEnd"/>
      <w:r>
        <w:rPr>
          <w:rFonts w:ascii="Arial" w:hAnsi="Arial" w:cs="Arial"/>
          <w:sz w:val="28"/>
          <w:szCs w:val="28"/>
        </w:rPr>
        <w:t xml:space="preserve"> are also among the most deprived in York. The least deprived wards of </w:t>
      </w:r>
      <w:proofErr w:type="spellStart"/>
      <w:r>
        <w:rPr>
          <w:rFonts w:ascii="Arial" w:hAnsi="Arial" w:cs="Arial"/>
          <w:sz w:val="28"/>
          <w:szCs w:val="28"/>
        </w:rPr>
        <w:t>Copmanthope</w:t>
      </w:r>
      <w:proofErr w:type="spellEnd"/>
      <w:r>
        <w:rPr>
          <w:rFonts w:ascii="Arial" w:hAnsi="Arial" w:cs="Arial"/>
          <w:sz w:val="28"/>
          <w:szCs w:val="28"/>
        </w:rPr>
        <w:t xml:space="preserve">, </w:t>
      </w:r>
      <w:proofErr w:type="spellStart"/>
      <w:r>
        <w:rPr>
          <w:rFonts w:ascii="Arial" w:hAnsi="Arial" w:cs="Arial"/>
          <w:sz w:val="28"/>
          <w:szCs w:val="28"/>
        </w:rPr>
        <w:t>Wheldrake</w:t>
      </w:r>
      <w:proofErr w:type="spellEnd"/>
      <w:r>
        <w:rPr>
          <w:rFonts w:ascii="Arial" w:hAnsi="Arial" w:cs="Arial"/>
          <w:sz w:val="28"/>
          <w:szCs w:val="28"/>
        </w:rPr>
        <w:t xml:space="preserve"> and Fulford &amp; Heslington all report no instances of teenage pregnancy. Other wards with no cases of teenage pregnancy are also within the ten least deprived York wards.</w:t>
      </w:r>
      <w:r>
        <w:rPr>
          <w:rStyle w:val="FootnoteReference"/>
          <w:rFonts w:ascii="Arial" w:hAnsi="Arial" w:cs="Arial"/>
          <w:sz w:val="28"/>
          <w:szCs w:val="28"/>
        </w:rPr>
        <w:footnoteReference w:id="25"/>
      </w:r>
      <w:r>
        <w:rPr>
          <w:rFonts w:ascii="Arial" w:hAnsi="Arial" w:cs="Arial"/>
          <w:sz w:val="28"/>
          <w:szCs w:val="28"/>
        </w:rPr>
        <w:t xml:space="preserve">  </w:t>
      </w:r>
    </w:p>
    <w:p w14:paraId="25B8F4DC" w14:textId="77777777" w:rsidR="00A43581" w:rsidRPr="00A43581" w:rsidRDefault="00A43581" w:rsidP="00B777CD">
      <w:pPr>
        <w:jc w:val="both"/>
        <w:rPr>
          <w:rFonts w:ascii="Arial" w:hAnsi="Arial" w:cs="Arial"/>
          <w:sz w:val="28"/>
          <w:szCs w:val="28"/>
        </w:rPr>
      </w:pPr>
    </w:p>
    <w:p w14:paraId="55D45713" w14:textId="77777777" w:rsidR="00DD7D30" w:rsidRDefault="00DD7D30" w:rsidP="00B777CD">
      <w:pPr>
        <w:pStyle w:val="Heading1"/>
        <w:jc w:val="both"/>
      </w:pPr>
      <w:bookmarkStart w:id="62" w:name="_Toc121996504"/>
      <w:bookmarkStart w:id="63" w:name="_Toc124346963"/>
      <w:r>
        <w:t>6</w:t>
      </w:r>
      <w:r w:rsidRPr="008B4D2A">
        <w:t>. Integrated Sexual Health Service Use</w:t>
      </w:r>
      <w:bookmarkEnd w:id="62"/>
      <w:bookmarkEnd w:id="63"/>
    </w:p>
    <w:p w14:paraId="4E1D5F0D" w14:textId="77777777" w:rsidR="00DD7D30" w:rsidRPr="00131FEB" w:rsidRDefault="00DD7D30" w:rsidP="00B777CD">
      <w:pPr>
        <w:jc w:val="both"/>
      </w:pPr>
    </w:p>
    <w:p w14:paraId="57D445D2" w14:textId="5EA2B52F" w:rsidR="00DD7D30" w:rsidRDefault="00DD7D30" w:rsidP="00B777CD">
      <w:pPr>
        <w:jc w:val="both"/>
        <w:rPr>
          <w:rFonts w:ascii="Arial" w:hAnsi="Arial" w:cs="Arial"/>
          <w:sz w:val="28"/>
          <w:szCs w:val="28"/>
        </w:rPr>
      </w:pPr>
      <w:r w:rsidRPr="008360B4">
        <w:rPr>
          <w:rFonts w:ascii="Arial" w:hAnsi="Arial" w:cs="Arial"/>
          <w:sz w:val="28"/>
          <w:szCs w:val="28"/>
        </w:rPr>
        <w:t xml:space="preserve">The following </w:t>
      </w:r>
      <w:r>
        <w:rPr>
          <w:rFonts w:ascii="Arial" w:hAnsi="Arial" w:cs="Arial"/>
          <w:sz w:val="28"/>
          <w:szCs w:val="28"/>
        </w:rPr>
        <w:t>information is taken from the Genitourinary Medicine Clinic Activity Dataset (GUMCAD) report between December 2018 and June 2022.</w:t>
      </w:r>
      <w:r w:rsidRPr="008360B4">
        <w:rPr>
          <w:rFonts w:ascii="Arial" w:hAnsi="Arial" w:cs="Arial"/>
          <w:sz w:val="28"/>
          <w:szCs w:val="28"/>
        </w:rPr>
        <w:t xml:space="preserve"> This section does not include data from primary care. </w:t>
      </w:r>
      <w:proofErr w:type="spellStart"/>
      <w:r>
        <w:rPr>
          <w:rFonts w:ascii="Arial" w:hAnsi="Arial" w:cs="Arial"/>
          <w:sz w:val="28"/>
          <w:szCs w:val="28"/>
        </w:rPr>
        <w:t>YorSexual</w:t>
      </w:r>
      <w:proofErr w:type="spellEnd"/>
      <w:r>
        <w:rPr>
          <w:rFonts w:ascii="Arial" w:hAnsi="Arial" w:cs="Arial"/>
          <w:sz w:val="28"/>
          <w:szCs w:val="28"/>
        </w:rPr>
        <w:t xml:space="preserve"> Health provides a service at </w:t>
      </w:r>
      <w:proofErr w:type="spellStart"/>
      <w:r>
        <w:rPr>
          <w:rFonts w:ascii="Arial" w:hAnsi="Arial" w:cs="Arial"/>
          <w:sz w:val="28"/>
          <w:szCs w:val="28"/>
        </w:rPr>
        <w:t>Monkgate</w:t>
      </w:r>
      <w:proofErr w:type="spellEnd"/>
      <w:r>
        <w:rPr>
          <w:rFonts w:ascii="Arial" w:hAnsi="Arial" w:cs="Arial"/>
          <w:sz w:val="28"/>
          <w:szCs w:val="28"/>
        </w:rPr>
        <w:t xml:space="preserve"> Health Centre. </w:t>
      </w:r>
      <w:r w:rsidRPr="008360B4">
        <w:rPr>
          <w:rFonts w:ascii="Arial" w:hAnsi="Arial" w:cs="Arial"/>
          <w:sz w:val="28"/>
          <w:szCs w:val="28"/>
        </w:rPr>
        <w:t xml:space="preserve">In </w:t>
      </w:r>
      <w:r>
        <w:rPr>
          <w:rFonts w:ascii="Arial" w:hAnsi="Arial" w:cs="Arial"/>
          <w:sz w:val="28"/>
          <w:szCs w:val="28"/>
        </w:rPr>
        <w:t xml:space="preserve">2018-2022 there were 26,713 attendances at the </w:t>
      </w:r>
      <w:proofErr w:type="spellStart"/>
      <w:r>
        <w:rPr>
          <w:rFonts w:ascii="Arial" w:hAnsi="Arial" w:cs="Arial"/>
          <w:sz w:val="28"/>
          <w:szCs w:val="28"/>
        </w:rPr>
        <w:t>YorSexual</w:t>
      </w:r>
      <w:proofErr w:type="spellEnd"/>
      <w:r>
        <w:rPr>
          <w:rFonts w:ascii="Arial" w:hAnsi="Arial" w:cs="Arial"/>
          <w:sz w:val="28"/>
          <w:szCs w:val="28"/>
        </w:rPr>
        <w:t xml:space="preserve"> Health Clinics in York. 22,933 of these were new consultations with 3,780 follow-up appointments. There were 17,570 patients in total. Of these, 12,459 (69.6</w:t>
      </w:r>
      <w:proofErr w:type="gramStart"/>
      <w:r>
        <w:rPr>
          <w:rFonts w:ascii="Arial" w:hAnsi="Arial" w:cs="Arial"/>
          <w:sz w:val="28"/>
          <w:szCs w:val="28"/>
        </w:rPr>
        <w:t>%)were</w:t>
      </w:r>
      <w:proofErr w:type="gramEnd"/>
      <w:r>
        <w:rPr>
          <w:rFonts w:ascii="Arial" w:hAnsi="Arial" w:cs="Arial"/>
          <w:sz w:val="28"/>
          <w:szCs w:val="28"/>
        </w:rPr>
        <w:t xml:space="preserve"> York residents however there was a sizeable proportion of service-users from nearby North Yorkshire (n = 3080). Patients accessing online services were counted as “Residents;” 16,571 of total consultations were online via </w:t>
      </w:r>
      <w:proofErr w:type="spellStart"/>
      <w:r>
        <w:rPr>
          <w:rFonts w:ascii="Arial" w:hAnsi="Arial" w:cs="Arial"/>
          <w:sz w:val="28"/>
          <w:szCs w:val="28"/>
        </w:rPr>
        <w:t>Preventx</w:t>
      </w:r>
      <w:proofErr w:type="spellEnd"/>
      <w:r>
        <w:rPr>
          <w:rFonts w:ascii="Arial" w:hAnsi="Arial" w:cs="Arial"/>
          <w:sz w:val="28"/>
          <w:szCs w:val="28"/>
        </w:rPr>
        <w:t>.</w:t>
      </w:r>
    </w:p>
    <w:p w14:paraId="058769CD" w14:textId="7500C05E" w:rsidR="00DD7D30" w:rsidRDefault="00DD7D30" w:rsidP="00B777CD">
      <w:pPr>
        <w:jc w:val="both"/>
        <w:rPr>
          <w:rFonts w:ascii="Arial" w:hAnsi="Arial" w:cs="Arial"/>
          <w:sz w:val="28"/>
          <w:szCs w:val="28"/>
        </w:rPr>
      </w:pPr>
      <w:r w:rsidRPr="007A027F">
        <w:rPr>
          <w:rFonts w:ascii="Arial" w:hAnsi="Arial" w:cs="Arial"/>
          <w:sz w:val="28"/>
          <w:szCs w:val="28"/>
        </w:rPr>
        <w:t xml:space="preserve">In line with the overall population of York, </w:t>
      </w:r>
      <w:proofErr w:type="gramStart"/>
      <w:r w:rsidRPr="007A027F">
        <w:rPr>
          <w:rFonts w:ascii="Arial" w:hAnsi="Arial" w:cs="Arial"/>
          <w:sz w:val="28"/>
          <w:szCs w:val="28"/>
        </w:rPr>
        <w:t>the majority of</w:t>
      </w:r>
      <w:proofErr w:type="gramEnd"/>
      <w:r w:rsidRPr="007A027F">
        <w:rPr>
          <w:rFonts w:ascii="Arial" w:hAnsi="Arial" w:cs="Arial"/>
          <w:sz w:val="28"/>
          <w:szCs w:val="28"/>
        </w:rPr>
        <w:t xml:space="preserve"> people who used the sexual health service describe themselves as ‘White British’ (8</w:t>
      </w:r>
      <w:r w:rsidR="00CE5EA3" w:rsidRPr="007A027F">
        <w:rPr>
          <w:rFonts w:ascii="Arial" w:hAnsi="Arial" w:cs="Arial"/>
          <w:sz w:val="28"/>
          <w:szCs w:val="28"/>
        </w:rPr>
        <w:t>5</w:t>
      </w:r>
      <w:r w:rsidRPr="007A027F">
        <w:rPr>
          <w:rFonts w:ascii="Arial" w:hAnsi="Arial" w:cs="Arial"/>
          <w:sz w:val="28"/>
          <w:szCs w:val="28"/>
        </w:rPr>
        <w:t>%) or another white background (</w:t>
      </w:r>
      <w:r w:rsidR="007A027F" w:rsidRPr="007A027F">
        <w:rPr>
          <w:rFonts w:ascii="Arial" w:hAnsi="Arial" w:cs="Arial"/>
          <w:sz w:val="28"/>
          <w:szCs w:val="28"/>
        </w:rPr>
        <w:t>5</w:t>
      </w:r>
      <w:r w:rsidRPr="007A027F">
        <w:rPr>
          <w:rFonts w:ascii="Arial" w:hAnsi="Arial" w:cs="Arial"/>
          <w:sz w:val="28"/>
          <w:szCs w:val="28"/>
        </w:rPr>
        <w:t xml:space="preserve">%). </w:t>
      </w:r>
      <w:r w:rsidR="00553497" w:rsidRPr="00553497">
        <w:rPr>
          <w:rFonts w:ascii="Arial" w:hAnsi="Arial" w:cs="Arial"/>
          <w:sz w:val="28"/>
          <w:szCs w:val="28"/>
        </w:rPr>
        <w:t>11</w:t>
      </w:r>
      <w:r w:rsidRPr="00553497">
        <w:rPr>
          <w:rFonts w:ascii="Arial" w:hAnsi="Arial" w:cs="Arial"/>
          <w:sz w:val="28"/>
          <w:szCs w:val="28"/>
        </w:rPr>
        <w:t>% of the people who used the service reported they were LGBT</w:t>
      </w:r>
      <w:r w:rsidR="00553497">
        <w:rPr>
          <w:rFonts w:ascii="Arial" w:hAnsi="Arial" w:cs="Arial"/>
          <w:sz w:val="28"/>
          <w:szCs w:val="28"/>
        </w:rPr>
        <w:t xml:space="preserve"> with a higher proportion of this cohort being gay men.</w:t>
      </w:r>
    </w:p>
    <w:p w14:paraId="36F28F27" w14:textId="03993B97" w:rsidR="00DD7D30" w:rsidRPr="00AA1C01" w:rsidRDefault="00553497" w:rsidP="00B777CD">
      <w:pPr>
        <w:jc w:val="both"/>
        <w:rPr>
          <w:rFonts w:ascii="Arial" w:hAnsi="Arial" w:cs="Arial"/>
          <w:sz w:val="28"/>
          <w:szCs w:val="28"/>
        </w:rPr>
      </w:pPr>
      <w:r w:rsidRPr="00AA1C01">
        <w:rPr>
          <w:rFonts w:ascii="Arial" w:hAnsi="Arial" w:cs="Arial"/>
          <w:sz w:val="28"/>
          <w:szCs w:val="28"/>
        </w:rPr>
        <w:t xml:space="preserve">The service was used approximately equally by men and women with men </w:t>
      </w:r>
      <w:r w:rsidR="00AA1C01" w:rsidRPr="00AA1C01">
        <w:rPr>
          <w:rFonts w:ascii="Arial" w:hAnsi="Arial" w:cs="Arial"/>
          <w:sz w:val="28"/>
          <w:szCs w:val="28"/>
        </w:rPr>
        <w:t xml:space="preserve">accounting for slightly more cases (52%). </w:t>
      </w:r>
    </w:p>
    <w:p w14:paraId="126A8F0E" w14:textId="50471AB4" w:rsidR="00DD7D30" w:rsidRPr="00681222" w:rsidRDefault="00DD7D30" w:rsidP="00B777CD">
      <w:pPr>
        <w:ind w:left="720"/>
        <w:jc w:val="both"/>
        <w:rPr>
          <w:rFonts w:ascii="Arial" w:hAnsi="Arial" w:cs="Arial"/>
          <w:sz w:val="28"/>
          <w:szCs w:val="28"/>
        </w:rPr>
      </w:pPr>
      <w:r w:rsidRPr="00681222">
        <w:rPr>
          <w:rFonts w:ascii="Arial" w:hAnsi="Arial" w:cs="Arial"/>
          <w:sz w:val="28"/>
          <w:szCs w:val="28"/>
        </w:rPr>
        <w:sym w:font="Symbol" w:char="F0B7"/>
      </w:r>
      <w:r w:rsidRPr="00681222">
        <w:rPr>
          <w:rFonts w:ascii="Arial" w:hAnsi="Arial" w:cs="Arial"/>
          <w:sz w:val="28"/>
          <w:szCs w:val="28"/>
        </w:rPr>
        <w:t xml:space="preserve"> Of all the females who attended in the year, </w:t>
      </w:r>
      <w:r w:rsidR="00681222" w:rsidRPr="00681222">
        <w:rPr>
          <w:rFonts w:ascii="Arial" w:hAnsi="Arial" w:cs="Arial"/>
          <w:sz w:val="28"/>
          <w:szCs w:val="28"/>
        </w:rPr>
        <w:t>69</w:t>
      </w:r>
      <w:r w:rsidRPr="00681222">
        <w:rPr>
          <w:rFonts w:ascii="Arial" w:hAnsi="Arial" w:cs="Arial"/>
          <w:sz w:val="28"/>
          <w:szCs w:val="28"/>
        </w:rPr>
        <w:t xml:space="preserve">% were under 25, </w:t>
      </w:r>
      <w:r w:rsidR="00681222" w:rsidRPr="00681222">
        <w:rPr>
          <w:rFonts w:ascii="Arial" w:hAnsi="Arial" w:cs="Arial"/>
          <w:sz w:val="28"/>
          <w:szCs w:val="28"/>
        </w:rPr>
        <w:t>25</w:t>
      </w:r>
      <w:r w:rsidRPr="00681222">
        <w:rPr>
          <w:rFonts w:ascii="Arial" w:hAnsi="Arial" w:cs="Arial"/>
          <w:sz w:val="28"/>
          <w:szCs w:val="28"/>
        </w:rPr>
        <w:t xml:space="preserve">% were under 19, and </w:t>
      </w:r>
      <w:r w:rsidR="00681222" w:rsidRPr="00681222">
        <w:rPr>
          <w:rFonts w:ascii="Arial" w:hAnsi="Arial" w:cs="Arial"/>
          <w:sz w:val="28"/>
          <w:szCs w:val="28"/>
        </w:rPr>
        <w:t>1</w:t>
      </w:r>
      <w:r w:rsidRPr="00681222">
        <w:rPr>
          <w:rFonts w:ascii="Arial" w:hAnsi="Arial" w:cs="Arial"/>
          <w:sz w:val="28"/>
          <w:szCs w:val="28"/>
        </w:rPr>
        <w:t xml:space="preserve">% were under 16. </w:t>
      </w:r>
    </w:p>
    <w:p w14:paraId="1CFED54B" w14:textId="7B618666" w:rsidR="00DD7D30" w:rsidRDefault="00DD7D30" w:rsidP="00B777CD">
      <w:pPr>
        <w:ind w:left="720"/>
        <w:jc w:val="both"/>
        <w:rPr>
          <w:rFonts w:ascii="Arial" w:hAnsi="Arial" w:cs="Arial"/>
          <w:sz w:val="28"/>
          <w:szCs w:val="28"/>
        </w:rPr>
      </w:pPr>
      <w:r w:rsidRPr="00681222">
        <w:rPr>
          <w:rFonts w:ascii="Arial" w:hAnsi="Arial" w:cs="Arial"/>
          <w:sz w:val="28"/>
          <w:szCs w:val="28"/>
        </w:rPr>
        <w:sym w:font="Symbol" w:char="F0B7"/>
      </w:r>
      <w:r w:rsidRPr="00681222">
        <w:rPr>
          <w:rFonts w:ascii="Arial" w:hAnsi="Arial" w:cs="Arial"/>
          <w:sz w:val="28"/>
          <w:szCs w:val="28"/>
        </w:rPr>
        <w:t xml:space="preserve"> Of all the males who attended in the year, </w:t>
      </w:r>
      <w:r w:rsidR="00681222" w:rsidRPr="00681222">
        <w:rPr>
          <w:rFonts w:ascii="Arial" w:hAnsi="Arial" w:cs="Arial"/>
          <w:sz w:val="28"/>
          <w:szCs w:val="28"/>
        </w:rPr>
        <w:t>70</w:t>
      </w:r>
      <w:r w:rsidRPr="00681222">
        <w:rPr>
          <w:rFonts w:ascii="Arial" w:hAnsi="Arial" w:cs="Arial"/>
          <w:sz w:val="28"/>
          <w:szCs w:val="28"/>
        </w:rPr>
        <w:t xml:space="preserve">% were under 25, </w:t>
      </w:r>
      <w:r w:rsidR="00681222" w:rsidRPr="00681222">
        <w:rPr>
          <w:rFonts w:ascii="Arial" w:hAnsi="Arial" w:cs="Arial"/>
          <w:sz w:val="28"/>
          <w:szCs w:val="28"/>
        </w:rPr>
        <w:t>11</w:t>
      </w:r>
      <w:r w:rsidRPr="00681222">
        <w:rPr>
          <w:rFonts w:ascii="Arial" w:hAnsi="Arial" w:cs="Arial"/>
          <w:sz w:val="28"/>
          <w:szCs w:val="28"/>
        </w:rPr>
        <w:t>% were under 19, and 0.</w:t>
      </w:r>
      <w:r w:rsidR="00681222" w:rsidRPr="00681222">
        <w:rPr>
          <w:rFonts w:ascii="Arial" w:hAnsi="Arial" w:cs="Arial"/>
          <w:sz w:val="28"/>
          <w:szCs w:val="28"/>
        </w:rPr>
        <w:t>2</w:t>
      </w:r>
      <w:r w:rsidRPr="00681222">
        <w:rPr>
          <w:rFonts w:ascii="Arial" w:hAnsi="Arial" w:cs="Arial"/>
          <w:sz w:val="28"/>
          <w:szCs w:val="28"/>
        </w:rPr>
        <w:t>% were under 16.</w:t>
      </w:r>
      <w:r>
        <w:rPr>
          <w:rFonts w:ascii="Arial" w:hAnsi="Arial" w:cs="Arial"/>
          <w:sz w:val="28"/>
          <w:szCs w:val="28"/>
        </w:rPr>
        <w:t xml:space="preserve"> </w:t>
      </w:r>
    </w:p>
    <w:p w14:paraId="7749637A" w14:textId="77777777" w:rsidR="00DD7D30" w:rsidRDefault="00DD7D30" w:rsidP="00B777CD">
      <w:pPr>
        <w:jc w:val="both"/>
        <w:rPr>
          <w:rFonts w:ascii="Arial" w:hAnsi="Arial" w:cs="Arial"/>
          <w:sz w:val="28"/>
          <w:szCs w:val="28"/>
        </w:rPr>
      </w:pPr>
      <w:r>
        <w:rPr>
          <w:rFonts w:ascii="Arial" w:hAnsi="Arial" w:cs="Arial"/>
          <w:sz w:val="28"/>
          <w:szCs w:val="28"/>
        </w:rPr>
        <w:t>I</w:t>
      </w:r>
      <w:r w:rsidRPr="008360B4">
        <w:rPr>
          <w:rFonts w:ascii="Arial" w:hAnsi="Arial" w:cs="Arial"/>
          <w:sz w:val="28"/>
          <w:szCs w:val="28"/>
        </w:rPr>
        <w:t>n the autumn of 20</w:t>
      </w:r>
      <w:r>
        <w:rPr>
          <w:rFonts w:ascii="Arial" w:hAnsi="Arial" w:cs="Arial"/>
          <w:sz w:val="28"/>
          <w:szCs w:val="28"/>
        </w:rPr>
        <w:t>22</w:t>
      </w:r>
      <w:r w:rsidRPr="008360B4">
        <w:rPr>
          <w:rFonts w:ascii="Arial" w:hAnsi="Arial" w:cs="Arial"/>
          <w:sz w:val="28"/>
          <w:szCs w:val="28"/>
        </w:rPr>
        <w:t xml:space="preserve">, </w:t>
      </w:r>
      <w:r>
        <w:rPr>
          <w:rFonts w:ascii="Arial" w:hAnsi="Arial" w:cs="Arial"/>
          <w:sz w:val="28"/>
          <w:szCs w:val="28"/>
        </w:rPr>
        <w:t>the v</w:t>
      </w:r>
      <w:r w:rsidRPr="00C47D01">
        <w:rPr>
          <w:rFonts w:ascii="Arial" w:hAnsi="Arial" w:cs="Arial"/>
          <w:sz w:val="28"/>
          <w:szCs w:val="28"/>
        </w:rPr>
        <w:t xml:space="preserve">iews of service users </w:t>
      </w:r>
      <w:r>
        <w:rPr>
          <w:rFonts w:ascii="Arial" w:hAnsi="Arial" w:cs="Arial"/>
          <w:sz w:val="28"/>
          <w:szCs w:val="28"/>
        </w:rPr>
        <w:t xml:space="preserve">and professionals </w:t>
      </w:r>
      <w:r w:rsidRPr="008360B4">
        <w:rPr>
          <w:rFonts w:ascii="Arial" w:hAnsi="Arial" w:cs="Arial"/>
          <w:sz w:val="28"/>
          <w:szCs w:val="28"/>
        </w:rPr>
        <w:t>were</w:t>
      </w:r>
      <w:r>
        <w:rPr>
          <w:rFonts w:ascii="Arial" w:hAnsi="Arial" w:cs="Arial"/>
          <w:sz w:val="28"/>
          <w:szCs w:val="28"/>
        </w:rPr>
        <w:t xml:space="preserve"> sought, and people were</w:t>
      </w:r>
      <w:r w:rsidRPr="008360B4">
        <w:rPr>
          <w:rFonts w:ascii="Arial" w:hAnsi="Arial" w:cs="Arial"/>
          <w:sz w:val="28"/>
          <w:szCs w:val="28"/>
        </w:rPr>
        <w:t xml:space="preserve"> invited to complete a short survey. Surveys were available online and in the sexual health clinics between </w:t>
      </w:r>
      <w:r>
        <w:rPr>
          <w:rFonts w:ascii="Arial" w:hAnsi="Arial" w:cs="Arial"/>
          <w:sz w:val="28"/>
          <w:szCs w:val="28"/>
        </w:rPr>
        <w:t xml:space="preserve">October and </w:t>
      </w:r>
      <w:r>
        <w:rPr>
          <w:rFonts w:ascii="Arial" w:hAnsi="Arial" w:cs="Arial"/>
          <w:sz w:val="28"/>
          <w:szCs w:val="28"/>
        </w:rPr>
        <w:lastRenderedPageBreak/>
        <w:t>November 2022</w:t>
      </w:r>
      <w:r w:rsidRPr="008360B4">
        <w:rPr>
          <w:rFonts w:ascii="Arial" w:hAnsi="Arial" w:cs="Arial"/>
          <w:sz w:val="28"/>
          <w:szCs w:val="28"/>
        </w:rPr>
        <w:t xml:space="preserve">. </w:t>
      </w:r>
      <w:r>
        <w:rPr>
          <w:rFonts w:ascii="Arial" w:hAnsi="Arial" w:cs="Arial"/>
          <w:sz w:val="28"/>
          <w:szCs w:val="28"/>
        </w:rPr>
        <w:t xml:space="preserve">For the benefit of this needs assessment feedback from service-users will only be covered. Stakeholders and potential providers’ feedback </w:t>
      </w:r>
      <w:proofErr w:type="gramStart"/>
      <w:r>
        <w:rPr>
          <w:rFonts w:ascii="Arial" w:hAnsi="Arial" w:cs="Arial"/>
          <w:sz w:val="28"/>
          <w:szCs w:val="28"/>
        </w:rPr>
        <w:t>is</w:t>
      </w:r>
      <w:proofErr w:type="gramEnd"/>
      <w:r>
        <w:rPr>
          <w:rFonts w:ascii="Arial" w:hAnsi="Arial" w:cs="Arial"/>
          <w:sz w:val="28"/>
          <w:szCs w:val="28"/>
        </w:rPr>
        <w:t xml:space="preserve"> covered in the engagement report. The surveys were aimed respectively at prospective providers, </w:t>
      </w:r>
      <w:proofErr w:type="gramStart"/>
      <w:r>
        <w:rPr>
          <w:rFonts w:ascii="Arial" w:hAnsi="Arial" w:cs="Arial"/>
          <w:sz w:val="28"/>
          <w:szCs w:val="28"/>
        </w:rPr>
        <w:t>stakeholders</w:t>
      </w:r>
      <w:proofErr w:type="gramEnd"/>
      <w:r>
        <w:rPr>
          <w:rFonts w:ascii="Arial" w:hAnsi="Arial" w:cs="Arial"/>
          <w:sz w:val="28"/>
          <w:szCs w:val="28"/>
        </w:rPr>
        <w:t xml:space="preserve"> and service users. Circulation of the surveys was utilised by a variety of means:</w:t>
      </w:r>
    </w:p>
    <w:p w14:paraId="557A393A" w14:textId="77777777" w:rsidR="00DD7D30" w:rsidRPr="00153D52" w:rsidRDefault="00DD7D30" w:rsidP="00B777CD">
      <w:pPr>
        <w:pStyle w:val="ListParagraph"/>
        <w:numPr>
          <w:ilvl w:val="0"/>
          <w:numId w:val="15"/>
        </w:numPr>
        <w:spacing w:after="0"/>
        <w:jc w:val="both"/>
        <w:rPr>
          <w:rFonts w:ascii="Arial" w:hAnsi="Arial" w:cs="Arial"/>
          <w:sz w:val="28"/>
          <w:szCs w:val="28"/>
        </w:rPr>
      </w:pPr>
      <w:r w:rsidRPr="00153D52">
        <w:rPr>
          <w:rFonts w:ascii="Arial" w:hAnsi="Arial" w:cs="Arial"/>
          <w:sz w:val="28"/>
          <w:szCs w:val="28"/>
        </w:rPr>
        <w:t>Service user</w:t>
      </w:r>
    </w:p>
    <w:p w14:paraId="4CF2544A" w14:textId="77777777" w:rsidR="00DD7D30" w:rsidRPr="00153D52" w:rsidRDefault="00DD7D30" w:rsidP="00B777CD">
      <w:pPr>
        <w:pStyle w:val="ListParagraph"/>
        <w:numPr>
          <w:ilvl w:val="1"/>
          <w:numId w:val="15"/>
        </w:numPr>
        <w:spacing w:after="0"/>
        <w:jc w:val="both"/>
        <w:rPr>
          <w:rFonts w:ascii="Arial" w:hAnsi="Arial" w:cs="Arial"/>
          <w:sz w:val="28"/>
          <w:szCs w:val="28"/>
        </w:rPr>
      </w:pPr>
      <w:r w:rsidRPr="00153D52">
        <w:rPr>
          <w:rFonts w:ascii="Arial" w:hAnsi="Arial" w:cs="Arial"/>
          <w:sz w:val="28"/>
          <w:szCs w:val="28"/>
        </w:rPr>
        <w:t>a poster developed and used in the specialist sexual health service and some community pharmacists signposting people to the survey.</w:t>
      </w:r>
    </w:p>
    <w:p w14:paraId="07987C25" w14:textId="77777777" w:rsidR="00DD7D30" w:rsidRPr="00153D52" w:rsidRDefault="00DD7D30" w:rsidP="00B777CD">
      <w:pPr>
        <w:pStyle w:val="ListParagraph"/>
        <w:numPr>
          <w:ilvl w:val="1"/>
          <w:numId w:val="15"/>
        </w:numPr>
        <w:spacing w:after="0"/>
        <w:jc w:val="both"/>
        <w:rPr>
          <w:rFonts w:ascii="Arial" w:hAnsi="Arial" w:cs="Arial"/>
          <w:sz w:val="28"/>
          <w:szCs w:val="28"/>
        </w:rPr>
      </w:pPr>
      <w:r w:rsidRPr="00153D52">
        <w:rPr>
          <w:rFonts w:ascii="Arial" w:hAnsi="Arial" w:cs="Arial"/>
          <w:sz w:val="28"/>
          <w:szCs w:val="28"/>
        </w:rPr>
        <w:t>A text message was sent via GP practices to all women who had attended for sexual health issues in the last 6 months</w:t>
      </w:r>
    </w:p>
    <w:p w14:paraId="7FDF4212" w14:textId="77777777" w:rsidR="00DD7D30" w:rsidRPr="00153D52" w:rsidRDefault="00DD7D30" w:rsidP="00B777CD">
      <w:pPr>
        <w:pStyle w:val="ListParagraph"/>
        <w:numPr>
          <w:ilvl w:val="1"/>
          <w:numId w:val="15"/>
        </w:numPr>
        <w:spacing w:after="0"/>
        <w:jc w:val="both"/>
        <w:rPr>
          <w:rFonts w:ascii="Arial" w:hAnsi="Arial" w:cs="Arial"/>
          <w:sz w:val="28"/>
          <w:szCs w:val="28"/>
        </w:rPr>
      </w:pPr>
      <w:r w:rsidRPr="00153D52">
        <w:rPr>
          <w:rFonts w:ascii="Arial" w:hAnsi="Arial" w:cs="Arial"/>
          <w:sz w:val="28"/>
          <w:szCs w:val="28"/>
        </w:rPr>
        <w:t xml:space="preserve">Information was placed on the </w:t>
      </w:r>
      <w:proofErr w:type="spellStart"/>
      <w:r w:rsidRPr="00153D52">
        <w:rPr>
          <w:rFonts w:ascii="Arial" w:hAnsi="Arial" w:cs="Arial"/>
          <w:sz w:val="28"/>
          <w:szCs w:val="28"/>
        </w:rPr>
        <w:t>YorSexualHealth</w:t>
      </w:r>
      <w:proofErr w:type="spellEnd"/>
      <w:r w:rsidRPr="00153D52">
        <w:rPr>
          <w:rFonts w:ascii="Arial" w:hAnsi="Arial" w:cs="Arial"/>
          <w:sz w:val="28"/>
          <w:szCs w:val="28"/>
        </w:rPr>
        <w:t xml:space="preserve"> Website</w:t>
      </w:r>
    </w:p>
    <w:p w14:paraId="32F6BA4E" w14:textId="77777777" w:rsidR="00DD7D30" w:rsidRPr="00153D52" w:rsidRDefault="00DD7D30" w:rsidP="00B777CD">
      <w:pPr>
        <w:pStyle w:val="ListParagraph"/>
        <w:numPr>
          <w:ilvl w:val="1"/>
          <w:numId w:val="15"/>
        </w:numPr>
        <w:spacing w:after="0"/>
        <w:jc w:val="both"/>
        <w:rPr>
          <w:rFonts w:ascii="Arial" w:hAnsi="Arial" w:cs="Arial"/>
          <w:sz w:val="28"/>
          <w:szCs w:val="28"/>
        </w:rPr>
      </w:pPr>
      <w:r w:rsidRPr="00153D52">
        <w:rPr>
          <w:rFonts w:ascii="Arial" w:hAnsi="Arial" w:cs="Arial"/>
          <w:sz w:val="28"/>
          <w:szCs w:val="28"/>
        </w:rPr>
        <w:t xml:space="preserve">Information sent to schools to encourage the link to be shared. </w:t>
      </w:r>
    </w:p>
    <w:p w14:paraId="3E560F4A" w14:textId="77777777" w:rsidR="00DD7D30" w:rsidRDefault="00DD7D30" w:rsidP="00B777CD">
      <w:pPr>
        <w:pStyle w:val="ListParagraph"/>
        <w:numPr>
          <w:ilvl w:val="1"/>
          <w:numId w:val="15"/>
        </w:numPr>
        <w:spacing w:after="0"/>
        <w:jc w:val="both"/>
        <w:rPr>
          <w:rFonts w:ascii="Arial" w:hAnsi="Arial" w:cs="Arial"/>
          <w:sz w:val="28"/>
          <w:szCs w:val="28"/>
        </w:rPr>
      </w:pPr>
      <w:r w:rsidRPr="00153D52">
        <w:rPr>
          <w:rFonts w:ascii="Arial" w:hAnsi="Arial" w:cs="Arial"/>
          <w:sz w:val="28"/>
          <w:szCs w:val="28"/>
        </w:rPr>
        <w:t>A QR code was also included on the poster for ease of access.</w:t>
      </w:r>
    </w:p>
    <w:p w14:paraId="06955244" w14:textId="77777777" w:rsidR="00DD7D30" w:rsidRPr="009D18C5" w:rsidRDefault="00DD7D30" w:rsidP="00B777CD">
      <w:pPr>
        <w:pStyle w:val="ListParagraph"/>
        <w:spacing w:after="0"/>
        <w:ind w:left="1440"/>
        <w:jc w:val="both"/>
        <w:rPr>
          <w:rFonts w:ascii="Arial" w:hAnsi="Arial" w:cs="Arial"/>
          <w:sz w:val="28"/>
          <w:szCs w:val="28"/>
        </w:rPr>
      </w:pPr>
    </w:p>
    <w:p w14:paraId="2981C003" w14:textId="77777777" w:rsidR="00DD7D30" w:rsidRPr="00153D52" w:rsidRDefault="00DD7D30" w:rsidP="00B777CD">
      <w:pPr>
        <w:jc w:val="both"/>
        <w:rPr>
          <w:rFonts w:ascii="Arial" w:hAnsi="Arial" w:cs="Arial"/>
          <w:sz w:val="28"/>
          <w:szCs w:val="28"/>
          <w:u w:val="single"/>
        </w:rPr>
      </w:pPr>
      <w:r w:rsidRPr="00153D52">
        <w:rPr>
          <w:rFonts w:ascii="Arial" w:hAnsi="Arial" w:cs="Arial"/>
          <w:sz w:val="28"/>
          <w:szCs w:val="28"/>
          <w:u w:val="single"/>
        </w:rPr>
        <w:t>Service Users</w:t>
      </w:r>
    </w:p>
    <w:p w14:paraId="71B00D9A" w14:textId="77777777" w:rsidR="00DD7D30" w:rsidRDefault="00DD7D30" w:rsidP="00B777CD">
      <w:pPr>
        <w:ind w:left="720"/>
        <w:jc w:val="both"/>
        <w:rPr>
          <w:rFonts w:ascii="Arial" w:hAnsi="Arial" w:cs="Arial"/>
          <w:sz w:val="28"/>
          <w:szCs w:val="28"/>
        </w:rPr>
      </w:pPr>
      <w:r w:rsidRPr="008360B4">
        <w:rPr>
          <w:rFonts w:ascii="Arial" w:hAnsi="Arial" w:cs="Arial"/>
          <w:sz w:val="28"/>
          <w:szCs w:val="28"/>
        </w:rPr>
        <w:sym w:font="Symbol" w:char="F0B7"/>
      </w:r>
      <w:r w:rsidRPr="008360B4">
        <w:rPr>
          <w:rFonts w:ascii="Arial" w:hAnsi="Arial" w:cs="Arial"/>
          <w:sz w:val="28"/>
          <w:szCs w:val="28"/>
        </w:rPr>
        <w:t xml:space="preserve"> </w:t>
      </w:r>
      <w:r>
        <w:rPr>
          <w:rFonts w:ascii="Arial" w:hAnsi="Arial" w:cs="Arial"/>
          <w:sz w:val="28"/>
          <w:szCs w:val="28"/>
        </w:rPr>
        <w:t xml:space="preserve">  125 </w:t>
      </w:r>
      <w:r w:rsidRPr="008360B4">
        <w:rPr>
          <w:rFonts w:ascii="Arial" w:hAnsi="Arial" w:cs="Arial"/>
          <w:sz w:val="28"/>
          <w:szCs w:val="28"/>
        </w:rPr>
        <w:t xml:space="preserve">responses </w:t>
      </w:r>
    </w:p>
    <w:p w14:paraId="0A06B6F9" w14:textId="77777777" w:rsidR="00DD7D30" w:rsidRPr="009D18C5" w:rsidRDefault="00DD7D30" w:rsidP="00B777CD">
      <w:pPr>
        <w:pStyle w:val="ListParagraph"/>
        <w:numPr>
          <w:ilvl w:val="0"/>
          <w:numId w:val="17"/>
        </w:numPr>
        <w:jc w:val="both"/>
        <w:rPr>
          <w:rFonts w:ascii="Arial" w:hAnsi="Arial" w:cs="Arial"/>
          <w:sz w:val="28"/>
          <w:szCs w:val="28"/>
        </w:rPr>
      </w:pPr>
      <w:proofErr w:type="gramStart"/>
      <w:r>
        <w:rPr>
          <w:rFonts w:ascii="Arial" w:hAnsi="Arial" w:cs="Arial"/>
          <w:sz w:val="28"/>
          <w:szCs w:val="28"/>
        </w:rPr>
        <w:t>The majority of</w:t>
      </w:r>
      <w:proofErr w:type="gramEnd"/>
      <w:r>
        <w:rPr>
          <w:rFonts w:ascii="Arial" w:hAnsi="Arial" w:cs="Arial"/>
          <w:sz w:val="28"/>
          <w:szCs w:val="28"/>
        </w:rPr>
        <w:t xml:space="preserve"> respondents were in the 16-24 age category (47%). No service-users at 56-59 years were represented however two were 60+ years</w:t>
      </w:r>
    </w:p>
    <w:p w14:paraId="3EA622D5" w14:textId="77777777" w:rsidR="00DD7D30" w:rsidRDefault="00DD7D30" w:rsidP="00B777CD">
      <w:pPr>
        <w:ind w:left="720"/>
        <w:jc w:val="both"/>
        <w:rPr>
          <w:rFonts w:ascii="Arial" w:hAnsi="Arial" w:cs="Arial"/>
          <w:sz w:val="28"/>
          <w:szCs w:val="28"/>
        </w:rPr>
      </w:pPr>
      <w:r w:rsidRPr="008360B4">
        <w:rPr>
          <w:rFonts w:ascii="Arial" w:hAnsi="Arial" w:cs="Arial"/>
          <w:sz w:val="28"/>
          <w:szCs w:val="28"/>
        </w:rPr>
        <w:sym w:font="Symbol" w:char="F0B7"/>
      </w:r>
      <w:r w:rsidRPr="008360B4">
        <w:rPr>
          <w:rFonts w:ascii="Arial" w:hAnsi="Arial" w:cs="Arial"/>
          <w:sz w:val="28"/>
          <w:szCs w:val="28"/>
        </w:rPr>
        <w:t xml:space="preserve"> </w:t>
      </w:r>
      <w:r>
        <w:rPr>
          <w:rFonts w:ascii="Arial" w:hAnsi="Arial" w:cs="Arial"/>
          <w:sz w:val="28"/>
          <w:szCs w:val="28"/>
        </w:rPr>
        <w:t xml:space="preserve">  </w:t>
      </w:r>
      <w:r w:rsidRPr="008360B4">
        <w:rPr>
          <w:rFonts w:ascii="Arial" w:hAnsi="Arial" w:cs="Arial"/>
          <w:sz w:val="28"/>
          <w:szCs w:val="28"/>
        </w:rPr>
        <w:t>More women (</w:t>
      </w:r>
      <w:r>
        <w:rPr>
          <w:rFonts w:ascii="Arial" w:hAnsi="Arial" w:cs="Arial"/>
          <w:sz w:val="28"/>
          <w:szCs w:val="28"/>
        </w:rPr>
        <w:t>54.9</w:t>
      </w:r>
      <w:r w:rsidRPr="008360B4">
        <w:rPr>
          <w:rFonts w:ascii="Arial" w:hAnsi="Arial" w:cs="Arial"/>
          <w:sz w:val="28"/>
          <w:szCs w:val="28"/>
        </w:rPr>
        <w:t>%) than men completed the</w:t>
      </w:r>
      <w:r>
        <w:rPr>
          <w:rFonts w:ascii="Arial" w:hAnsi="Arial" w:cs="Arial"/>
          <w:sz w:val="28"/>
          <w:szCs w:val="28"/>
        </w:rPr>
        <w:t xml:space="preserve"> </w:t>
      </w:r>
      <w:r w:rsidRPr="008360B4">
        <w:rPr>
          <w:rFonts w:ascii="Arial" w:hAnsi="Arial" w:cs="Arial"/>
          <w:sz w:val="28"/>
          <w:szCs w:val="28"/>
        </w:rPr>
        <w:t xml:space="preserve">survey </w:t>
      </w:r>
    </w:p>
    <w:p w14:paraId="06931DF3" w14:textId="77777777" w:rsidR="00DD7D30" w:rsidRDefault="00DD7D30" w:rsidP="00B777CD">
      <w:pPr>
        <w:pStyle w:val="ListParagraph"/>
        <w:numPr>
          <w:ilvl w:val="0"/>
          <w:numId w:val="16"/>
        </w:numPr>
        <w:jc w:val="both"/>
        <w:rPr>
          <w:rFonts w:ascii="Arial" w:hAnsi="Arial" w:cs="Arial"/>
          <w:sz w:val="28"/>
          <w:szCs w:val="28"/>
        </w:rPr>
      </w:pPr>
      <w:r>
        <w:rPr>
          <w:rFonts w:ascii="Arial" w:hAnsi="Arial" w:cs="Arial"/>
          <w:sz w:val="28"/>
          <w:szCs w:val="28"/>
        </w:rPr>
        <w:t xml:space="preserve">15.7% of respondents identified as non-binary or gender variant </w:t>
      </w:r>
    </w:p>
    <w:p w14:paraId="54F09B37" w14:textId="77777777" w:rsidR="00DD7D30" w:rsidRDefault="00DD7D30" w:rsidP="00B777CD">
      <w:pPr>
        <w:pStyle w:val="ListParagraph"/>
        <w:ind w:left="1080"/>
        <w:jc w:val="both"/>
        <w:rPr>
          <w:rFonts w:ascii="Arial" w:hAnsi="Arial" w:cs="Arial"/>
          <w:sz w:val="28"/>
          <w:szCs w:val="28"/>
        </w:rPr>
      </w:pPr>
    </w:p>
    <w:p w14:paraId="2D7F5FB4" w14:textId="77777777" w:rsidR="00DD7D30" w:rsidRPr="00DF72ED" w:rsidRDefault="00DD7D30" w:rsidP="00B777CD">
      <w:pPr>
        <w:pStyle w:val="ListParagraph"/>
        <w:numPr>
          <w:ilvl w:val="0"/>
          <w:numId w:val="16"/>
        </w:numPr>
        <w:jc w:val="both"/>
        <w:rPr>
          <w:rFonts w:ascii="Arial" w:hAnsi="Arial" w:cs="Arial"/>
          <w:sz w:val="28"/>
          <w:szCs w:val="28"/>
        </w:rPr>
      </w:pPr>
      <w:r>
        <w:rPr>
          <w:rFonts w:ascii="Arial" w:hAnsi="Arial" w:cs="Arial"/>
          <w:sz w:val="28"/>
          <w:szCs w:val="28"/>
        </w:rPr>
        <w:t>82.4% of respondents stated their gender identity was the same as the sex assigned to them at birth</w:t>
      </w:r>
    </w:p>
    <w:p w14:paraId="0A874440" w14:textId="77777777" w:rsidR="00DD7D30" w:rsidRDefault="00DD7D30" w:rsidP="00B777CD">
      <w:pPr>
        <w:ind w:left="720"/>
        <w:jc w:val="both"/>
        <w:rPr>
          <w:rFonts w:ascii="Arial" w:hAnsi="Arial" w:cs="Arial"/>
          <w:sz w:val="28"/>
          <w:szCs w:val="28"/>
        </w:rPr>
      </w:pPr>
      <w:r w:rsidRPr="008360B4">
        <w:rPr>
          <w:rFonts w:ascii="Arial" w:hAnsi="Arial" w:cs="Arial"/>
          <w:sz w:val="28"/>
          <w:szCs w:val="28"/>
        </w:rPr>
        <w:sym w:font="Symbol" w:char="F0B7"/>
      </w:r>
      <w:r w:rsidRPr="008360B4">
        <w:rPr>
          <w:rFonts w:ascii="Arial" w:hAnsi="Arial" w:cs="Arial"/>
          <w:sz w:val="28"/>
          <w:szCs w:val="28"/>
        </w:rPr>
        <w:t xml:space="preserve"> </w:t>
      </w:r>
      <w:r>
        <w:rPr>
          <w:rFonts w:ascii="Arial" w:hAnsi="Arial" w:cs="Arial"/>
          <w:sz w:val="28"/>
          <w:szCs w:val="28"/>
        </w:rPr>
        <w:t xml:space="preserve">  </w:t>
      </w:r>
      <w:r w:rsidRPr="008360B4">
        <w:rPr>
          <w:rFonts w:ascii="Arial" w:hAnsi="Arial" w:cs="Arial"/>
          <w:sz w:val="28"/>
          <w:szCs w:val="28"/>
        </w:rPr>
        <w:t xml:space="preserve">The majority describe themselves as White British </w:t>
      </w:r>
      <w:r>
        <w:rPr>
          <w:rFonts w:ascii="Arial" w:hAnsi="Arial" w:cs="Arial"/>
          <w:sz w:val="28"/>
          <w:szCs w:val="28"/>
        </w:rPr>
        <w:t>(75%)</w:t>
      </w:r>
    </w:p>
    <w:p w14:paraId="02520626" w14:textId="77777777" w:rsidR="00DD7D30" w:rsidRDefault="00DD7D30" w:rsidP="00B777CD">
      <w:pPr>
        <w:ind w:left="720"/>
        <w:jc w:val="both"/>
        <w:rPr>
          <w:rFonts w:ascii="Arial" w:hAnsi="Arial" w:cs="Arial"/>
          <w:sz w:val="28"/>
          <w:szCs w:val="28"/>
        </w:rPr>
      </w:pPr>
      <w:r w:rsidRPr="008360B4">
        <w:rPr>
          <w:rFonts w:ascii="Arial" w:hAnsi="Arial" w:cs="Arial"/>
          <w:sz w:val="28"/>
          <w:szCs w:val="28"/>
        </w:rPr>
        <w:sym w:font="Symbol" w:char="F0B7"/>
      </w:r>
      <w:r w:rsidRPr="008360B4">
        <w:rPr>
          <w:rFonts w:ascii="Arial" w:hAnsi="Arial" w:cs="Arial"/>
          <w:sz w:val="28"/>
          <w:szCs w:val="28"/>
        </w:rPr>
        <w:t xml:space="preserve"> </w:t>
      </w:r>
      <w:r>
        <w:rPr>
          <w:rFonts w:ascii="Arial" w:hAnsi="Arial" w:cs="Arial"/>
          <w:sz w:val="28"/>
          <w:szCs w:val="28"/>
        </w:rPr>
        <w:t xml:space="preserve">  The majority stated they were bisexual, </w:t>
      </w:r>
      <w:proofErr w:type="gramStart"/>
      <w:r>
        <w:rPr>
          <w:rFonts w:ascii="Arial" w:hAnsi="Arial" w:cs="Arial"/>
          <w:sz w:val="28"/>
          <w:szCs w:val="28"/>
        </w:rPr>
        <w:t>gay</w:t>
      </w:r>
      <w:proofErr w:type="gramEnd"/>
      <w:r>
        <w:rPr>
          <w:rFonts w:ascii="Arial" w:hAnsi="Arial" w:cs="Arial"/>
          <w:sz w:val="28"/>
          <w:szCs w:val="28"/>
        </w:rPr>
        <w:t xml:space="preserve"> or lesbian (47%).</w:t>
      </w:r>
    </w:p>
    <w:p w14:paraId="1FC28A71" w14:textId="77777777" w:rsidR="00DD7D30" w:rsidRPr="00F56849" w:rsidRDefault="00DD7D30" w:rsidP="00B777CD">
      <w:pPr>
        <w:pStyle w:val="ListParagraph"/>
        <w:numPr>
          <w:ilvl w:val="0"/>
          <w:numId w:val="18"/>
        </w:numPr>
        <w:jc w:val="both"/>
        <w:rPr>
          <w:rFonts w:ascii="Arial" w:hAnsi="Arial" w:cs="Arial"/>
          <w:sz w:val="28"/>
          <w:szCs w:val="28"/>
        </w:rPr>
      </w:pPr>
      <w:r>
        <w:rPr>
          <w:rFonts w:ascii="Arial" w:hAnsi="Arial" w:cs="Arial"/>
          <w:sz w:val="28"/>
          <w:szCs w:val="28"/>
        </w:rPr>
        <w:t>A bigger proportion of respondents preferred specialist sexual health services to GPs for support</w:t>
      </w:r>
    </w:p>
    <w:p w14:paraId="0545D218" w14:textId="77777777" w:rsidR="00DD7D30" w:rsidRDefault="00DD7D30" w:rsidP="00B777CD">
      <w:pPr>
        <w:ind w:left="720"/>
        <w:jc w:val="both"/>
        <w:rPr>
          <w:rFonts w:ascii="Arial" w:hAnsi="Arial" w:cs="Arial"/>
          <w:sz w:val="28"/>
          <w:szCs w:val="28"/>
        </w:rPr>
      </w:pPr>
      <w:r w:rsidRPr="008360B4">
        <w:rPr>
          <w:rFonts w:ascii="Arial" w:hAnsi="Arial" w:cs="Arial"/>
          <w:sz w:val="28"/>
          <w:szCs w:val="28"/>
        </w:rPr>
        <w:sym w:font="Symbol" w:char="F0B7"/>
      </w:r>
      <w:r w:rsidRPr="008360B4">
        <w:rPr>
          <w:rFonts w:ascii="Arial" w:hAnsi="Arial" w:cs="Arial"/>
          <w:sz w:val="28"/>
          <w:szCs w:val="28"/>
        </w:rPr>
        <w:t xml:space="preserve"> </w:t>
      </w:r>
      <w:r>
        <w:rPr>
          <w:rFonts w:ascii="Arial" w:hAnsi="Arial" w:cs="Arial"/>
          <w:sz w:val="28"/>
          <w:szCs w:val="28"/>
        </w:rPr>
        <w:t xml:space="preserve">  59</w:t>
      </w:r>
      <w:r w:rsidRPr="008360B4">
        <w:rPr>
          <w:rFonts w:ascii="Arial" w:hAnsi="Arial" w:cs="Arial"/>
          <w:sz w:val="28"/>
          <w:szCs w:val="28"/>
        </w:rPr>
        <w:t>% (</w:t>
      </w:r>
      <w:r>
        <w:rPr>
          <w:rFonts w:ascii="Arial" w:hAnsi="Arial" w:cs="Arial"/>
          <w:sz w:val="28"/>
          <w:szCs w:val="28"/>
        </w:rPr>
        <w:t>50 out 125)</w:t>
      </w:r>
      <w:r w:rsidRPr="008360B4">
        <w:rPr>
          <w:rFonts w:ascii="Arial" w:hAnsi="Arial" w:cs="Arial"/>
          <w:sz w:val="28"/>
          <w:szCs w:val="28"/>
        </w:rPr>
        <w:t xml:space="preserve"> reported </w:t>
      </w:r>
      <w:r>
        <w:rPr>
          <w:rFonts w:ascii="Arial" w:hAnsi="Arial" w:cs="Arial"/>
          <w:sz w:val="28"/>
          <w:szCs w:val="28"/>
        </w:rPr>
        <w:t xml:space="preserve">they were very satisfied or satisfied with their experience of specialise sexual health services </w:t>
      </w:r>
    </w:p>
    <w:p w14:paraId="6299A04F" w14:textId="77777777" w:rsidR="00DD7D30" w:rsidRPr="00F30977" w:rsidRDefault="00DD7D30" w:rsidP="00B777CD">
      <w:pPr>
        <w:pStyle w:val="ListParagraph"/>
        <w:numPr>
          <w:ilvl w:val="0"/>
          <w:numId w:val="18"/>
        </w:numPr>
        <w:jc w:val="both"/>
        <w:rPr>
          <w:rFonts w:ascii="Arial" w:hAnsi="Arial" w:cs="Arial"/>
          <w:sz w:val="28"/>
          <w:szCs w:val="28"/>
        </w:rPr>
      </w:pPr>
      <w:r w:rsidRPr="00F30977">
        <w:rPr>
          <w:rFonts w:ascii="Arial" w:hAnsi="Arial" w:cs="Arial"/>
          <w:sz w:val="28"/>
          <w:szCs w:val="28"/>
        </w:rPr>
        <w:t>42.4% of users said they were extremely like</w:t>
      </w:r>
      <w:r>
        <w:rPr>
          <w:rFonts w:ascii="Arial" w:hAnsi="Arial" w:cs="Arial"/>
          <w:sz w:val="28"/>
          <w:szCs w:val="28"/>
        </w:rPr>
        <w:t>ly</w:t>
      </w:r>
      <w:r w:rsidRPr="00F30977">
        <w:rPr>
          <w:rFonts w:ascii="Arial" w:hAnsi="Arial" w:cs="Arial"/>
          <w:sz w:val="28"/>
          <w:szCs w:val="28"/>
        </w:rPr>
        <w:t xml:space="preserve"> to recommend specialist services to family or friends</w:t>
      </w:r>
    </w:p>
    <w:p w14:paraId="3AA7DC61" w14:textId="77777777" w:rsidR="00DD7D30" w:rsidRDefault="00DD7D30" w:rsidP="00B777CD">
      <w:pPr>
        <w:ind w:left="720"/>
        <w:jc w:val="both"/>
        <w:rPr>
          <w:rFonts w:ascii="Arial" w:hAnsi="Arial" w:cs="Arial"/>
          <w:sz w:val="28"/>
          <w:szCs w:val="28"/>
        </w:rPr>
      </w:pPr>
      <w:r w:rsidRPr="008360B4">
        <w:rPr>
          <w:rFonts w:ascii="Arial" w:hAnsi="Arial" w:cs="Arial"/>
          <w:sz w:val="28"/>
          <w:szCs w:val="28"/>
        </w:rPr>
        <w:lastRenderedPageBreak/>
        <w:sym w:font="Symbol" w:char="F0B7"/>
      </w:r>
      <w:r w:rsidRPr="008360B4">
        <w:rPr>
          <w:rFonts w:ascii="Arial" w:hAnsi="Arial" w:cs="Arial"/>
          <w:sz w:val="28"/>
          <w:szCs w:val="28"/>
        </w:rPr>
        <w:t xml:space="preserve"> </w:t>
      </w:r>
      <w:r>
        <w:rPr>
          <w:rFonts w:ascii="Arial" w:hAnsi="Arial" w:cs="Arial"/>
          <w:sz w:val="28"/>
          <w:szCs w:val="28"/>
        </w:rPr>
        <w:t xml:space="preserve">  </w:t>
      </w:r>
      <w:proofErr w:type="gramStart"/>
      <w:r w:rsidRPr="008360B4">
        <w:rPr>
          <w:rFonts w:ascii="Arial" w:hAnsi="Arial" w:cs="Arial"/>
          <w:sz w:val="28"/>
          <w:szCs w:val="28"/>
        </w:rPr>
        <w:t>The majority of</w:t>
      </w:r>
      <w:proofErr w:type="gramEnd"/>
      <w:r w:rsidRPr="008360B4">
        <w:rPr>
          <w:rFonts w:ascii="Arial" w:hAnsi="Arial" w:cs="Arial"/>
          <w:sz w:val="28"/>
          <w:szCs w:val="28"/>
        </w:rPr>
        <w:t xml:space="preserve"> people said they received everything they needed from their visit. </w:t>
      </w:r>
    </w:p>
    <w:p w14:paraId="54BE3B5F" w14:textId="77777777" w:rsidR="00DD7D30" w:rsidRDefault="00DD7D30" w:rsidP="00B777CD">
      <w:pPr>
        <w:pStyle w:val="ListParagraph"/>
        <w:numPr>
          <w:ilvl w:val="0"/>
          <w:numId w:val="17"/>
        </w:numPr>
        <w:jc w:val="both"/>
        <w:rPr>
          <w:rFonts w:ascii="Arial" w:hAnsi="Arial" w:cs="Arial"/>
          <w:sz w:val="28"/>
          <w:szCs w:val="28"/>
        </w:rPr>
      </w:pPr>
      <w:proofErr w:type="gramStart"/>
      <w:r>
        <w:rPr>
          <w:rFonts w:ascii="Arial" w:hAnsi="Arial" w:cs="Arial"/>
          <w:sz w:val="28"/>
          <w:szCs w:val="28"/>
        </w:rPr>
        <w:t>The majority of</w:t>
      </w:r>
      <w:proofErr w:type="gramEnd"/>
      <w:r>
        <w:rPr>
          <w:rFonts w:ascii="Arial" w:hAnsi="Arial" w:cs="Arial"/>
          <w:sz w:val="28"/>
          <w:szCs w:val="28"/>
        </w:rPr>
        <w:t xml:space="preserve"> service users (55%) attended for contraceptive advice. 50% of those citing this wanted advice on all types of contraception</w:t>
      </w:r>
    </w:p>
    <w:p w14:paraId="20F885F4" w14:textId="77777777" w:rsidR="00DD7D30" w:rsidRDefault="00DD7D30" w:rsidP="00B777CD">
      <w:pPr>
        <w:pStyle w:val="ListParagraph"/>
        <w:ind w:left="1080"/>
        <w:jc w:val="both"/>
        <w:rPr>
          <w:rFonts w:ascii="Arial" w:hAnsi="Arial" w:cs="Arial"/>
          <w:sz w:val="28"/>
          <w:szCs w:val="28"/>
        </w:rPr>
      </w:pPr>
    </w:p>
    <w:p w14:paraId="79379E54" w14:textId="77777777" w:rsidR="00DD7D30" w:rsidRDefault="00DD7D30" w:rsidP="00B777CD">
      <w:pPr>
        <w:pStyle w:val="ListParagraph"/>
        <w:numPr>
          <w:ilvl w:val="0"/>
          <w:numId w:val="17"/>
        </w:numPr>
        <w:jc w:val="both"/>
        <w:rPr>
          <w:rFonts w:ascii="Arial" w:hAnsi="Arial" w:cs="Arial"/>
          <w:sz w:val="28"/>
          <w:szCs w:val="28"/>
        </w:rPr>
      </w:pPr>
      <w:r>
        <w:rPr>
          <w:rFonts w:ascii="Arial" w:hAnsi="Arial" w:cs="Arial"/>
          <w:sz w:val="28"/>
          <w:szCs w:val="28"/>
        </w:rPr>
        <w:t xml:space="preserve">STI testing was still more common in clinic (46%) however 35% of testing was done online via </w:t>
      </w:r>
      <w:proofErr w:type="spellStart"/>
      <w:r>
        <w:rPr>
          <w:rFonts w:ascii="Arial" w:hAnsi="Arial" w:cs="Arial"/>
          <w:sz w:val="28"/>
          <w:szCs w:val="28"/>
        </w:rPr>
        <w:t>Preventx</w:t>
      </w:r>
      <w:proofErr w:type="spellEnd"/>
    </w:p>
    <w:p w14:paraId="65C201A9" w14:textId="77777777" w:rsidR="00DD7D30" w:rsidRPr="00F30977" w:rsidRDefault="00DD7D30" w:rsidP="00B777CD">
      <w:pPr>
        <w:pStyle w:val="ListParagraph"/>
        <w:jc w:val="both"/>
        <w:rPr>
          <w:rFonts w:ascii="Arial" w:hAnsi="Arial" w:cs="Arial"/>
          <w:sz w:val="28"/>
          <w:szCs w:val="28"/>
        </w:rPr>
      </w:pPr>
    </w:p>
    <w:p w14:paraId="5EC6A80E" w14:textId="77777777" w:rsidR="00DD7D30" w:rsidRPr="009D18C5" w:rsidRDefault="00DD7D30" w:rsidP="00B777CD">
      <w:pPr>
        <w:pStyle w:val="ListParagraph"/>
        <w:numPr>
          <w:ilvl w:val="0"/>
          <w:numId w:val="17"/>
        </w:numPr>
        <w:jc w:val="both"/>
        <w:rPr>
          <w:rFonts w:ascii="Arial" w:hAnsi="Arial" w:cs="Arial"/>
          <w:sz w:val="28"/>
          <w:szCs w:val="28"/>
        </w:rPr>
      </w:pPr>
      <w:r>
        <w:rPr>
          <w:rFonts w:ascii="Arial" w:hAnsi="Arial" w:cs="Arial"/>
          <w:sz w:val="28"/>
          <w:szCs w:val="28"/>
        </w:rPr>
        <w:t>Cervical screening was a service that many respondents stated they would like to access from the sexual health service</w:t>
      </w:r>
    </w:p>
    <w:p w14:paraId="0629FE00" w14:textId="77777777" w:rsidR="00DD7D30" w:rsidRDefault="00DD7D30" w:rsidP="00B777CD">
      <w:pPr>
        <w:ind w:left="720"/>
        <w:jc w:val="both"/>
        <w:rPr>
          <w:rFonts w:ascii="Arial" w:hAnsi="Arial" w:cs="Arial"/>
          <w:sz w:val="28"/>
          <w:szCs w:val="28"/>
        </w:rPr>
      </w:pPr>
      <w:r w:rsidRPr="008360B4">
        <w:rPr>
          <w:rFonts w:ascii="Arial" w:hAnsi="Arial" w:cs="Arial"/>
          <w:sz w:val="28"/>
          <w:szCs w:val="28"/>
        </w:rPr>
        <w:sym w:font="Symbol" w:char="F0B7"/>
      </w:r>
      <w:r w:rsidRPr="008360B4">
        <w:rPr>
          <w:rFonts w:ascii="Arial" w:hAnsi="Arial" w:cs="Arial"/>
          <w:sz w:val="28"/>
          <w:szCs w:val="28"/>
        </w:rPr>
        <w:t xml:space="preserve"> </w:t>
      </w:r>
      <w:r>
        <w:rPr>
          <w:rFonts w:ascii="Arial" w:hAnsi="Arial" w:cs="Arial"/>
          <w:sz w:val="28"/>
          <w:szCs w:val="28"/>
        </w:rPr>
        <w:t xml:space="preserve">  </w:t>
      </w:r>
      <w:r w:rsidRPr="008360B4">
        <w:rPr>
          <w:rFonts w:ascii="Arial" w:hAnsi="Arial" w:cs="Arial"/>
          <w:sz w:val="28"/>
          <w:szCs w:val="28"/>
        </w:rPr>
        <w:t xml:space="preserve">The staff were described as friendly, professional, and non-judgemental and knowledgeable. </w:t>
      </w:r>
    </w:p>
    <w:p w14:paraId="14020278" w14:textId="77777777" w:rsidR="00DD7D30" w:rsidRDefault="00DD7D30" w:rsidP="00B777CD">
      <w:pPr>
        <w:ind w:left="720"/>
        <w:jc w:val="both"/>
        <w:rPr>
          <w:rFonts w:ascii="Arial" w:hAnsi="Arial" w:cs="Arial"/>
          <w:sz w:val="28"/>
          <w:szCs w:val="28"/>
        </w:rPr>
      </w:pPr>
    </w:p>
    <w:p w14:paraId="2C257F79" w14:textId="77777777" w:rsidR="00DD7D30" w:rsidRDefault="00DD7D30" w:rsidP="00B777CD">
      <w:pPr>
        <w:jc w:val="both"/>
        <w:rPr>
          <w:rFonts w:ascii="Arial" w:hAnsi="Arial" w:cs="Arial"/>
          <w:sz w:val="28"/>
          <w:szCs w:val="28"/>
        </w:rPr>
      </w:pPr>
      <w:r w:rsidRPr="008360B4">
        <w:rPr>
          <w:rFonts w:ascii="Arial" w:hAnsi="Arial" w:cs="Arial"/>
          <w:sz w:val="28"/>
          <w:szCs w:val="28"/>
        </w:rPr>
        <w:t>Negative comments</w:t>
      </w:r>
      <w:r>
        <w:rPr>
          <w:rFonts w:ascii="Arial" w:hAnsi="Arial" w:cs="Arial"/>
          <w:sz w:val="28"/>
          <w:szCs w:val="28"/>
        </w:rPr>
        <w:t xml:space="preserve"> included</w:t>
      </w:r>
      <w:r w:rsidRPr="008360B4">
        <w:rPr>
          <w:rFonts w:ascii="Arial" w:hAnsi="Arial" w:cs="Arial"/>
          <w:sz w:val="28"/>
          <w:szCs w:val="28"/>
        </w:rPr>
        <w:t xml:space="preserve">: </w:t>
      </w:r>
    </w:p>
    <w:p w14:paraId="3598228B" w14:textId="77777777" w:rsidR="00DD7D30" w:rsidRDefault="00DD7D30" w:rsidP="00B777CD">
      <w:pPr>
        <w:jc w:val="both"/>
        <w:rPr>
          <w:rFonts w:ascii="Arial" w:hAnsi="Arial" w:cs="Arial"/>
          <w:sz w:val="28"/>
          <w:szCs w:val="28"/>
        </w:rPr>
      </w:pPr>
      <w:r w:rsidRPr="008360B4">
        <w:rPr>
          <w:rFonts w:ascii="Arial" w:hAnsi="Arial" w:cs="Arial"/>
          <w:sz w:val="28"/>
          <w:szCs w:val="28"/>
        </w:rPr>
        <w:t xml:space="preserve">Some people felt that the waiting times were excessively long, and that the information available on the website was difficult to find. </w:t>
      </w:r>
    </w:p>
    <w:p w14:paraId="28720351" w14:textId="77777777" w:rsidR="00DD7D30" w:rsidRDefault="00DD7D30" w:rsidP="00B777CD">
      <w:pPr>
        <w:jc w:val="both"/>
        <w:rPr>
          <w:rFonts w:ascii="Arial" w:hAnsi="Arial" w:cs="Arial"/>
          <w:sz w:val="28"/>
          <w:szCs w:val="28"/>
        </w:rPr>
      </w:pPr>
      <w:r>
        <w:rPr>
          <w:rFonts w:ascii="Arial" w:hAnsi="Arial" w:cs="Arial"/>
          <w:sz w:val="28"/>
          <w:szCs w:val="28"/>
        </w:rPr>
        <w:t>Poor past experiences were also a common barrier to accessing services</w:t>
      </w:r>
    </w:p>
    <w:p w14:paraId="38F60594" w14:textId="77777777" w:rsidR="00DD7D30" w:rsidRDefault="00DD7D30" w:rsidP="00B777CD">
      <w:pPr>
        <w:jc w:val="both"/>
        <w:rPr>
          <w:rFonts w:ascii="Arial" w:hAnsi="Arial" w:cs="Arial"/>
          <w:sz w:val="28"/>
          <w:szCs w:val="28"/>
        </w:rPr>
      </w:pPr>
      <w:r>
        <w:rPr>
          <w:rFonts w:ascii="Arial" w:hAnsi="Arial" w:cs="Arial"/>
          <w:sz w:val="28"/>
          <w:szCs w:val="28"/>
        </w:rPr>
        <w:t>People also felt embarrassed to ask for help in the first place</w:t>
      </w:r>
    </w:p>
    <w:p w14:paraId="5140DFB9" w14:textId="77777777" w:rsidR="00DD7D30" w:rsidRDefault="00DD7D30" w:rsidP="00B777CD">
      <w:pPr>
        <w:jc w:val="both"/>
        <w:rPr>
          <w:rFonts w:ascii="Arial" w:hAnsi="Arial" w:cs="Arial"/>
          <w:sz w:val="28"/>
          <w:szCs w:val="28"/>
        </w:rPr>
      </w:pPr>
      <w:r w:rsidRPr="008360B4">
        <w:rPr>
          <w:rFonts w:ascii="Arial" w:hAnsi="Arial" w:cs="Arial"/>
          <w:sz w:val="28"/>
          <w:szCs w:val="28"/>
        </w:rPr>
        <w:t xml:space="preserve">Equality of experience: </w:t>
      </w:r>
    </w:p>
    <w:p w14:paraId="40D397B2" w14:textId="77777777" w:rsidR="00DD7D30" w:rsidRPr="008360B4" w:rsidRDefault="00DD7D30" w:rsidP="00B777CD">
      <w:pPr>
        <w:jc w:val="both"/>
        <w:rPr>
          <w:rFonts w:ascii="Arial" w:hAnsi="Arial" w:cs="Arial"/>
          <w:sz w:val="28"/>
          <w:szCs w:val="28"/>
        </w:rPr>
      </w:pPr>
      <w:r w:rsidRPr="008360B4">
        <w:rPr>
          <w:rFonts w:ascii="Arial" w:hAnsi="Arial" w:cs="Arial"/>
          <w:sz w:val="28"/>
          <w:szCs w:val="28"/>
        </w:rPr>
        <w:t>No statistical differences or clear trends were found when comparing service users’ responses according to their age, sexuality, or gender</w:t>
      </w:r>
    </w:p>
    <w:p w14:paraId="106F5930" w14:textId="77777777" w:rsidR="00DD7D30" w:rsidRPr="008360B4" w:rsidRDefault="00DD7D30" w:rsidP="00B777CD">
      <w:pPr>
        <w:jc w:val="both"/>
        <w:rPr>
          <w:rFonts w:ascii="Arial" w:hAnsi="Arial" w:cs="Arial"/>
          <w:b/>
          <w:bCs/>
          <w:sz w:val="28"/>
          <w:szCs w:val="28"/>
        </w:rPr>
      </w:pPr>
    </w:p>
    <w:p w14:paraId="1ABD51E5" w14:textId="77777777" w:rsidR="00DD7D30" w:rsidRPr="008B4D2A" w:rsidRDefault="00DD7D30" w:rsidP="00B777CD">
      <w:pPr>
        <w:pStyle w:val="Heading1"/>
        <w:jc w:val="both"/>
      </w:pPr>
      <w:bookmarkStart w:id="64" w:name="_Toc124346964"/>
      <w:bookmarkStart w:id="65" w:name="_Toc121996505"/>
      <w:r>
        <w:t>7</w:t>
      </w:r>
      <w:r w:rsidRPr="008B4D2A">
        <w:t>. Recommendations</w:t>
      </w:r>
      <w:bookmarkEnd w:id="64"/>
      <w:r w:rsidRPr="008B4D2A">
        <w:t xml:space="preserve"> </w:t>
      </w:r>
      <w:bookmarkEnd w:id="65"/>
    </w:p>
    <w:p w14:paraId="6BFB6E4B" w14:textId="77777777" w:rsidR="00DD7D30" w:rsidRPr="00105A98" w:rsidRDefault="00DD7D30" w:rsidP="00B777CD">
      <w:pPr>
        <w:jc w:val="both"/>
        <w:rPr>
          <w:rFonts w:ascii="Arial" w:hAnsi="Arial" w:cs="Arial"/>
          <w:sz w:val="28"/>
          <w:szCs w:val="28"/>
        </w:rPr>
      </w:pPr>
      <w:r w:rsidRPr="00105A98">
        <w:rPr>
          <w:rFonts w:ascii="Arial" w:hAnsi="Arial" w:cs="Arial"/>
          <w:sz w:val="28"/>
          <w:szCs w:val="28"/>
        </w:rPr>
        <w:t>1. To commission an integrated sexual health service which is flexible and responsive to population need and operates using evidence</w:t>
      </w:r>
      <w:r>
        <w:rPr>
          <w:rFonts w:ascii="Arial" w:hAnsi="Arial" w:cs="Arial"/>
          <w:sz w:val="28"/>
          <w:szCs w:val="28"/>
        </w:rPr>
        <w:t>-</w:t>
      </w:r>
      <w:r w:rsidRPr="00105A98">
        <w:rPr>
          <w:rFonts w:ascii="Arial" w:hAnsi="Arial" w:cs="Arial"/>
          <w:sz w:val="28"/>
          <w:szCs w:val="28"/>
        </w:rPr>
        <w:t xml:space="preserve">based practice. </w:t>
      </w:r>
    </w:p>
    <w:p w14:paraId="27C3249D" w14:textId="77777777" w:rsidR="00DD7D30" w:rsidRPr="00105A98" w:rsidRDefault="00DD7D30" w:rsidP="00B777CD">
      <w:pPr>
        <w:jc w:val="both"/>
        <w:rPr>
          <w:rFonts w:ascii="Arial" w:hAnsi="Arial" w:cs="Arial"/>
          <w:sz w:val="28"/>
          <w:szCs w:val="28"/>
        </w:rPr>
      </w:pPr>
      <w:r w:rsidRPr="00105A98">
        <w:rPr>
          <w:rFonts w:ascii="Arial" w:hAnsi="Arial" w:cs="Arial"/>
          <w:sz w:val="28"/>
          <w:szCs w:val="28"/>
        </w:rPr>
        <w:t xml:space="preserve">2. To work with a broad range of organisations, including social care teams, universities, and primary care, to ensure that the service is accessible and acceptable to service users. </w:t>
      </w:r>
    </w:p>
    <w:p w14:paraId="04606E22" w14:textId="77777777" w:rsidR="00DD7D30" w:rsidRPr="00105A98" w:rsidRDefault="00DD7D30" w:rsidP="00B777CD">
      <w:pPr>
        <w:jc w:val="both"/>
        <w:rPr>
          <w:rFonts w:ascii="Arial" w:hAnsi="Arial" w:cs="Arial"/>
          <w:sz w:val="28"/>
          <w:szCs w:val="28"/>
        </w:rPr>
      </w:pPr>
      <w:r w:rsidRPr="00105A98">
        <w:rPr>
          <w:rFonts w:ascii="Arial" w:hAnsi="Arial" w:cs="Arial"/>
          <w:sz w:val="28"/>
          <w:szCs w:val="28"/>
        </w:rPr>
        <w:t xml:space="preserve">3. To have an innovative service which is focused on improving outcomes and protecting the population of York. </w:t>
      </w:r>
    </w:p>
    <w:p w14:paraId="026DD2B1" w14:textId="77777777" w:rsidR="00DD7D30" w:rsidRDefault="00DD7D30" w:rsidP="00B777CD">
      <w:pPr>
        <w:jc w:val="both"/>
        <w:rPr>
          <w:rFonts w:ascii="Arial" w:hAnsi="Arial" w:cs="Arial"/>
          <w:sz w:val="28"/>
          <w:szCs w:val="28"/>
        </w:rPr>
      </w:pPr>
      <w:r w:rsidRPr="00105A98">
        <w:rPr>
          <w:rFonts w:ascii="Arial" w:hAnsi="Arial" w:cs="Arial"/>
          <w:sz w:val="28"/>
          <w:szCs w:val="28"/>
        </w:rPr>
        <w:lastRenderedPageBreak/>
        <w:t>4. To have a universal service which undertakes targeted activity to work towards equitable outcomes across the city</w:t>
      </w:r>
    </w:p>
    <w:p w14:paraId="4A387697" w14:textId="77777777" w:rsidR="00DD7D30" w:rsidRDefault="00DD7D30" w:rsidP="00B777CD">
      <w:pPr>
        <w:jc w:val="both"/>
        <w:rPr>
          <w:rFonts w:ascii="Arial" w:hAnsi="Arial" w:cs="Arial"/>
          <w:sz w:val="28"/>
          <w:szCs w:val="28"/>
        </w:rPr>
      </w:pPr>
      <w:r>
        <w:rPr>
          <w:rFonts w:ascii="Arial" w:hAnsi="Arial" w:cs="Arial"/>
          <w:sz w:val="28"/>
          <w:szCs w:val="28"/>
        </w:rPr>
        <w:t xml:space="preserve">5. To have a focus on prevention by providing education resources </w:t>
      </w:r>
    </w:p>
    <w:p w14:paraId="732A51BA" w14:textId="77777777" w:rsidR="00DD7D30" w:rsidRDefault="00DD7D30" w:rsidP="00B777CD">
      <w:pPr>
        <w:jc w:val="both"/>
        <w:rPr>
          <w:rFonts w:ascii="Arial" w:hAnsi="Arial" w:cs="Arial"/>
          <w:sz w:val="28"/>
          <w:szCs w:val="28"/>
        </w:rPr>
      </w:pPr>
      <w:r>
        <w:rPr>
          <w:rFonts w:ascii="Arial" w:hAnsi="Arial" w:cs="Arial"/>
          <w:sz w:val="28"/>
          <w:szCs w:val="28"/>
        </w:rPr>
        <w:t>6. To address inequalities by providing targeted approaches to prevention work in areas of unmet need</w:t>
      </w:r>
    </w:p>
    <w:p w14:paraId="398E395E" w14:textId="77777777" w:rsidR="00DD7D30" w:rsidRPr="00105A98" w:rsidRDefault="00DD7D30" w:rsidP="00B777CD">
      <w:pPr>
        <w:jc w:val="both"/>
        <w:rPr>
          <w:rFonts w:ascii="Arial" w:hAnsi="Arial" w:cs="Arial"/>
          <w:sz w:val="28"/>
          <w:szCs w:val="28"/>
        </w:rPr>
      </w:pPr>
      <w:r>
        <w:rPr>
          <w:rFonts w:ascii="Arial" w:hAnsi="Arial" w:cs="Arial"/>
          <w:sz w:val="28"/>
          <w:szCs w:val="28"/>
        </w:rPr>
        <w:t>7. To provide succinct information on the different types and locations of services provided to improve staff and user-experience</w:t>
      </w:r>
    </w:p>
    <w:p w14:paraId="203B9B19" w14:textId="77777777" w:rsidR="00DD7D30" w:rsidRDefault="00DD7D30" w:rsidP="00B777CD">
      <w:pPr>
        <w:jc w:val="both"/>
      </w:pPr>
    </w:p>
    <w:p w14:paraId="4792D0BF" w14:textId="77777777" w:rsidR="00DD7D30" w:rsidRDefault="00DD7D30" w:rsidP="00B777CD">
      <w:pPr>
        <w:jc w:val="both"/>
      </w:pPr>
    </w:p>
    <w:sectPr w:rsidR="00DD7D30">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12C9" w14:textId="77777777" w:rsidR="00BC29F1" w:rsidRDefault="00BC29F1" w:rsidP="00DD7D30">
      <w:pPr>
        <w:spacing w:after="0" w:line="240" w:lineRule="auto"/>
      </w:pPr>
      <w:r>
        <w:separator/>
      </w:r>
    </w:p>
  </w:endnote>
  <w:endnote w:type="continuationSeparator" w:id="0">
    <w:p w14:paraId="7E328101" w14:textId="77777777" w:rsidR="00BC29F1" w:rsidRDefault="00BC29F1" w:rsidP="00DD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75585"/>
      <w:docPartObj>
        <w:docPartGallery w:val="Page Numbers (Bottom of Page)"/>
        <w:docPartUnique/>
      </w:docPartObj>
    </w:sdtPr>
    <w:sdtEndPr>
      <w:rPr>
        <w:noProof/>
      </w:rPr>
    </w:sdtEndPr>
    <w:sdtContent>
      <w:p w14:paraId="1C726F15" w14:textId="6E9DE4EA" w:rsidR="00DD7D30" w:rsidRDefault="00DD7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EFD9C" w14:textId="77777777" w:rsidR="00DD7D30" w:rsidRDefault="00DD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5238" w14:textId="77777777" w:rsidR="00BC29F1" w:rsidRDefault="00BC29F1" w:rsidP="00DD7D30">
      <w:pPr>
        <w:spacing w:after="0" w:line="240" w:lineRule="auto"/>
      </w:pPr>
      <w:r>
        <w:separator/>
      </w:r>
    </w:p>
  </w:footnote>
  <w:footnote w:type="continuationSeparator" w:id="0">
    <w:p w14:paraId="5313CAF4" w14:textId="77777777" w:rsidR="00BC29F1" w:rsidRDefault="00BC29F1" w:rsidP="00DD7D30">
      <w:pPr>
        <w:spacing w:after="0" w:line="240" w:lineRule="auto"/>
      </w:pPr>
      <w:r>
        <w:continuationSeparator/>
      </w:r>
    </w:p>
  </w:footnote>
  <w:footnote w:id="1">
    <w:p w14:paraId="0E117B51" w14:textId="77777777" w:rsidR="00DD7D30" w:rsidRDefault="00DD7D30" w:rsidP="00DD7D30">
      <w:pPr>
        <w:pStyle w:val="FootnoteText"/>
      </w:pPr>
      <w:r>
        <w:rPr>
          <w:rStyle w:val="FootnoteReference"/>
        </w:rPr>
        <w:footnoteRef/>
      </w:r>
      <w:r>
        <w:t xml:space="preserve"> </w:t>
      </w:r>
      <w:hyperlink r:id="rId1" w:anchor="fn26" w:history="1">
        <w:r w:rsidRPr="00352C2A">
          <w:rPr>
            <w:rStyle w:val="Hyperlink"/>
          </w:rPr>
          <w:t>SPLASH Report</w:t>
        </w:r>
      </w:hyperlink>
    </w:p>
  </w:footnote>
  <w:footnote w:id="2">
    <w:p w14:paraId="4B06865E" w14:textId="77777777" w:rsidR="00F15F6F" w:rsidRDefault="00F15F6F" w:rsidP="00F15F6F">
      <w:pPr>
        <w:pStyle w:val="FootnoteText"/>
      </w:pPr>
      <w:r>
        <w:rPr>
          <w:rStyle w:val="FootnoteReference"/>
        </w:rPr>
        <w:footnoteRef/>
      </w:r>
      <w:r>
        <w:t xml:space="preserve"> Commissioning local HIV sexual and reproductive health services, updated 2018: </w:t>
      </w:r>
      <w:hyperlink r:id="rId2" w:history="1">
        <w:r w:rsidRPr="00B71931">
          <w:rPr>
            <w:rStyle w:val="Hyperlink"/>
          </w:rPr>
          <w:t>https://www.gov.uk/guidance/commissioning-regional-and-local-sexual-health-services</w:t>
        </w:r>
      </w:hyperlink>
    </w:p>
    <w:p w14:paraId="545D90CD" w14:textId="77777777" w:rsidR="00F15F6F" w:rsidRDefault="00F15F6F" w:rsidP="00F15F6F">
      <w:pPr>
        <w:pStyle w:val="FootnoteText"/>
      </w:pPr>
    </w:p>
  </w:footnote>
  <w:footnote w:id="3">
    <w:p w14:paraId="2488DB58" w14:textId="77777777" w:rsidR="00F15F6F" w:rsidRDefault="00F15F6F" w:rsidP="00F15F6F">
      <w:pPr>
        <w:pStyle w:val="FootnoteText"/>
      </w:pPr>
      <w:r>
        <w:rPr>
          <w:rStyle w:val="FootnoteReference"/>
        </w:rPr>
        <w:footnoteRef/>
      </w:r>
      <w:r>
        <w:t xml:space="preserve"> NICE (2014) guidance on contraceptive services for under 25s (PH51) </w:t>
      </w:r>
      <w:hyperlink r:id="rId3" w:history="1">
        <w:r w:rsidRPr="00B71931">
          <w:rPr>
            <w:rStyle w:val="Hyperlink"/>
          </w:rPr>
          <w:t>https://www.nice.org.uk/guidance/ph51</w:t>
        </w:r>
      </w:hyperlink>
    </w:p>
    <w:p w14:paraId="315394C3" w14:textId="77777777" w:rsidR="00F15F6F" w:rsidRDefault="00F15F6F" w:rsidP="00F15F6F">
      <w:pPr>
        <w:pStyle w:val="FootnoteText"/>
      </w:pPr>
    </w:p>
  </w:footnote>
  <w:footnote w:id="4">
    <w:p w14:paraId="77EED655" w14:textId="77777777" w:rsidR="00DD7D30" w:rsidRDefault="00DD7D30" w:rsidP="00DD7D30">
      <w:pPr>
        <w:pStyle w:val="FootnoteText"/>
      </w:pPr>
      <w:r>
        <w:rPr>
          <w:rStyle w:val="FootnoteReference"/>
        </w:rPr>
        <w:footnoteRef/>
      </w:r>
      <w:r>
        <w:t xml:space="preserve"> </w:t>
      </w:r>
      <w:hyperlink r:id="rId4" w:history="1">
        <w:r w:rsidRPr="00566515">
          <w:rPr>
            <w:rStyle w:val="Hyperlink"/>
            <w:rFonts w:ascii="Arial" w:hAnsi="Arial" w:cs="Arial"/>
          </w:rPr>
          <w:t>https://www.ons.gov.uk/visualisations/censuspopulationchange/E06000014/</w:t>
        </w:r>
      </w:hyperlink>
    </w:p>
  </w:footnote>
  <w:footnote w:id="5">
    <w:p w14:paraId="2213333E" w14:textId="77777777" w:rsidR="00DD7D30" w:rsidRDefault="00DD7D30" w:rsidP="00DD7D30">
      <w:pPr>
        <w:pStyle w:val="FootnoteText"/>
      </w:pPr>
      <w:r>
        <w:rPr>
          <w:rStyle w:val="FootnoteReference"/>
        </w:rPr>
        <w:footnoteRef/>
      </w:r>
      <w:r>
        <w:t xml:space="preserve"> </w:t>
      </w:r>
      <w:hyperlink r:id="rId5" w:history="1">
        <w:r w:rsidRPr="00B71931">
          <w:rPr>
            <w:rStyle w:val="Hyperlink"/>
          </w:rPr>
          <w:t>https://data.yorkopendata.org/dataset?sort=metadata_modified+desc&amp;tags=ward+profiles</w:t>
        </w:r>
      </w:hyperlink>
    </w:p>
  </w:footnote>
  <w:footnote w:id="6">
    <w:p w14:paraId="736F472A" w14:textId="77777777" w:rsidR="00E07A3E" w:rsidRDefault="00E07A3E" w:rsidP="00E07A3E">
      <w:pPr>
        <w:pStyle w:val="FootnoteText"/>
      </w:pPr>
      <w:r>
        <w:rPr>
          <w:rStyle w:val="FootnoteReference"/>
        </w:rPr>
        <w:footnoteRef/>
      </w:r>
      <w:r>
        <w:t xml:space="preserve"> </w:t>
      </w:r>
      <w:hyperlink r:id="rId6" w:history="1">
        <w:r w:rsidRPr="007F0D00">
          <w:rPr>
            <w:rStyle w:val="Hyperlink"/>
          </w:rPr>
          <w:t>Sexual Orientation, UK: 2020</w:t>
        </w:r>
      </w:hyperlink>
    </w:p>
  </w:footnote>
  <w:footnote w:id="7">
    <w:p w14:paraId="4A803C8A" w14:textId="5AB052E5" w:rsidR="00E07A3E" w:rsidRDefault="00E07A3E">
      <w:pPr>
        <w:pStyle w:val="FootnoteText"/>
      </w:pPr>
      <w:r>
        <w:rPr>
          <w:rStyle w:val="FootnoteReference"/>
        </w:rPr>
        <w:footnoteRef/>
      </w:r>
      <w:hyperlink r:id="rId7" w:history="1">
        <w:r w:rsidRPr="006A0011">
          <w:rPr>
            <w:rStyle w:val="Hyperlink"/>
          </w:rPr>
          <w:t>https://www.ons.gov.uk/peoplepopulationandcommunity/culturalidentity/sexuality/bulletins/sexualorientationenglandandwales/census2021</w:t>
        </w:r>
      </w:hyperlink>
    </w:p>
  </w:footnote>
  <w:footnote w:id="8">
    <w:p w14:paraId="1B007294" w14:textId="1AA47138" w:rsidR="00D26EF8" w:rsidRDefault="00D26EF8">
      <w:pPr>
        <w:pStyle w:val="FootnoteText"/>
      </w:pPr>
      <w:r>
        <w:rPr>
          <w:rStyle w:val="FootnoteReference"/>
        </w:rPr>
        <w:footnoteRef/>
      </w:r>
      <w:hyperlink r:id="rId8" w:history="1">
        <w:r w:rsidRPr="006A0011">
          <w:rPr>
            <w:rStyle w:val="Hyperlink"/>
          </w:rPr>
          <w:t>https://www.ons.gov.uk/peoplepopulationandcommunity/culturalidentity/genderidentity/bulletins/genderidentityenglandandwales/census2021</w:t>
        </w:r>
      </w:hyperlink>
    </w:p>
  </w:footnote>
  <w:footnote w:id="9">
    <w:p w14:paraId="3163D811" w14:textId="77777777" w:rsidR="00DD7D30" w:rsidRDefault="00DD7D30" w:rsidP="00DD7D30">
      <w:pPr>
        <w:pStyle w:val="FootnoteText"/>
      </w:pPr>
      <w:r>
        <w:rPr>
          <w:rStyle w:val="FootnoteReference"/>
        </w:rPr>
        <w:footnoteRef/>
      </w:r>
      <w:r>
        <w:t xml:space="preserve"> </w:t>
      </w:r>
      <w:hyperlink r:id="rId9" w:history="1">
        <w:r w:rsidRPr="002D201A">
          <w:rPr>
            <w:rStyle w:val="Hyperlink"/>
          </w:rPr>
          <w:t>Ethnicity Data: Census 2021</w:t>
        </w:r>
      </w:hyperlink>
    </w:p>
  </w:footnote>
  <w:footnote w:id="10">
    <w:p w14:paraId="5E64E4E8" w14:textId="77777777" w:rsidR="00DD7D30" w:rsidRDefault="00DD7D30" w:rsidP="00DD7D30">
      <w:pPr>
        <w:pStyle w:val="FootnoteText"/>
      </w:pPr>
      <w:r>
        <w:rPr>
          <w:rStyle w:val="FootnoteReference"/>
        </w:rPr>
        <w:footnoteRef/>
      </w:r>
      <w:r>
        <w:t xml:space="preserve"> </w:t>
      </w:r>
      <w:hyperlink r:id="rId10" w:history="1">
        <w:r w:rsidRPr="00AA0313">
          <w:rPr>
            <w:rStyle w:val="Hyperlink"/>
          </w:rPr>
          <w:t>York Open Data</w:t>
        </w:r>
      </w:hyperlink>
      <w:r>
        <w:t xml:space="preserve"> </w:t>
      </w:r>
    </w:p>
  </w:footnote>
  <w:footnote w:id="11">
    <w:p w14:paraId="5FAE853A" w14:textId="77777777" w:rsidR="00DD7D30" w:rsidRDefault="00DD7D30" w:rsidP="00DD7D30">
      <w:pPr>
        <w:pStyle w:val="FootnoteText"/>
      </w:pPr>
      <w:r>
        <w:rPr>
          <w:rStyle w:val="FootnoteReference"/>
        </w:rPr>
        <w:footnoteRef/>
      </w:r>
      <w:r>
        <w:t xml:space="preserve"> </w:t>
      </w:r>
      <w:hyperlink r:id="rId11" w:history="1">
        <w:r w:rsidRPr="002D201A">
          <w:rPr>
            <w:rStyle w:val="Hyperlink"/>
          </w:rPr>
          <w:t>Variation in Outcomes in Sexual and Reproductive Health in England</w:t>
        </w:r>
      </w:hyperlink>
    </w:p>
  </w:footnote>
  <w:footnote w:id="12">
    <w:p w14:paraId="4539DFF5" w14:textId="77777777" w:rsidR="00DD7D30" w:rsidRDefault="00DD7D30" w:rsidP="00DD7D30">
      <w:pPr>
        <w:pStyle w:val="FootnoteText"/>
      </w:pPr>
      <w:r>
        <w:rPr>
          <w:rStyle w:val="FootnoteReference"/>
        </w:rPr>
        <w:footnoteRef/>
      </w:r>
      <w:r>
        <w:t xml:space="preserve"> General Fertility Rate: </w:t>
      </w:r>
      <w:hyperlink r:id="rId12" w:history="1">
        <w:r w:rsidRPr="00B71931">
          <w:rPr>
            <w:rStyle w:val="Hyperlink"/>
          </w:rPr>
          <w:t>https://fingertips.phe.org.uk/search/fertility</w:t>
        </w:r>
      </w:hyperlink>
    </w:p>
  </w:footnote>
  <w:footnote w:id="13">
    <w:p w14:paraId="58518455" w14:textId="77777777" w:rsidR="00DD7D30" w:rsidRDefault="00DD7D30" w:rsidP="00DD7D30">
      <w:pPr>
        <w:pStyle w:val="FootnoteText"/>
      </w:pPr>
      <w:r>
        <w:rPr>
          <w:rStyle w:val="FootnoteReference"/>
        </w:rPr>
        <w:footnoteRef/>
      </w:r>
      <w:r>
        <w:t xml:space="preserve"> York Pharmaceutical Needs Assessment, 2022-2025, Chapter 4.8.5 Sexual Health</w:t>
      </w:r>
    </w:p>
  </w:footnote>
  <w:footnote w:id="14">
    <w:p w14:paraId="6FFB027C" w14:textId="77777777" w:rsidR="00DD7D30" w:rsidRDefault="00DD7D30" w:rsidP="00DD7D30">
      <w:pPr>
        <w:pStyle w:val="FootnoteText"/>
      </w:pPr>
      <w:r>
        <w:rPr>
          <w:rStyle w:val="FootnoteReference"/>
        </w:rPr>
        <w:footnoteRef/>
      </w:r>
      <w:r>
        <w:t xml:space="preserve"> GUMCAD Report: All STI Diagnosis and Services 01/01/2018 to 30/06/2022 (restricted access)</w:t>
      </w:r>
    </w:p>
  </w:footnote>
  <w:footnote w:id="15">
    <w:p w14:paraId="0B9B4211" w14:textId="77777777" w:rsidR="00DD7D30" w:rsidRDefault="00DD7D30" w:rsidP="00DD7D30">
      <w:pPr>
        <w:pStyle w:val="FootnoteText"/>
      </w:pPr>
      <w:r>
        <w:rPr>
          <w:rStyle w:val="FootnoteReference"/>
        </w:rPr>
        <w:footnoteRef/>
      </w:r>
      <w:r>
        <w:t xml:space="preserve"> </w:t>
      </w:r>
      <w:hyperlink r:id="rId13" w:history="1">
        <w:r w:rsidRPr="00AA0313">
          <w:rPr>
            <w:rStyle w:val="Hyperlink"/>
          </w:rPr>
          <w:t>World Health Organization- Sexually Transmitted Infections</w:t>
        </w:r>
      </w:hyperlink>
    </w:p>
    <w:p w14:paraId="5E4232C2" w14:textId="77777777" w:rsidR="00DD7D30" w:rsidRDefault="00DD7D30" w:rsidP="00DD7D30">
      <w:pPr>
        <w:pStyle w:val="FootnoteText"/>
      </w:pPr>
    </w:p>
  </w:footnote>
  <w:footnote w:id="16">
    <w:p w14:paraId="2CA2193D" w14:textId="77777777" w:rsidR="00DD7D30" w:rsidRDefault="00DD7D30" w:rsidP="00DD7D30">
      <w:pPr>
        <w:pStyle w:val="FootnoteText"/>
      </w:pPr>
      <w:r>
        <w:rPr>
          <w:rStyle w:val="FootnoteReference"/>
        </w:rPr>
        <w:footnoteRef/>
      </w:r>
      <w:r>
        <w:t xml:space="preserve"> Splash Report, 2022</w:t>
      </w:r>
    </w:p>
  </w:footnote>
  <w:footnote w:id="17">
    <w:p w14:paraId="61AF0E0D" w14:textId="77777777" w:rsidR="00DD7D30" w:rsidRDefault="00DD7D30" w:rsidP="00DD7D30">
      <w:pPr>
        <w:pStyle w:val="FootnoteText"/>
      </w:pPr>
      <w:r>
        <w:rPr>
          <w:rStyle w:val="FootnoteReference"/>
        </w:rPr>
        <w:footnoteRef/>
      </w:r>
      <w:r>
        <w:t xml:space="preserve"> </w:t>
      </w:r>
      <w:hyperlink r:id="rId14" w:history="1">
        <w:r w:rsidRPr="00743BC4">
          <w:rPr>
            <w:rStyle w:val="Hyperlink"/>
          </w:rPr>
          <w:t>Addressing the increase in syphilis in England: PHE Action Plan</w:t>
        </w:r>
      </w:hyperlink>
    </w:p>
  </w:footnote>
  <w:footnote w:id="18">
    <w:p w14:paraId="13BB0136" w14:textId="77777777" w:rsidR="00DD7D30" w:rsidRDefault="00DD7D30" w:rsidP="00DD7D30">
      <w:pPr>
        <w:pStyle w:val="FootnoteText"/>
        <w:rPr>
          <w:rFonts w:ascii="Arial" w:hAnsi="Arial" w:cs="Arial"/>
          <w:sz w:val="28"/>
          <w:szCs w:val="28"/>
        </w:rPr>
      </w:pPr>
      <w:r>
        <w:rPr>
          <w:rStyle w:val="FootnoteReference"/>
        </w:rPr>
        <w:footnoteRef/>
      </w:r>
      <w:r>
        <w:rPr>
          <w:rFonts w:ascii="Arial" w:hAnsi="Arial" w:cs="Arial"/>
          <w:b/>
          <w:bCs/>
          <w:sz w:val="28"/>
          <w:szCs w:val="28"/>
        </w:rPr>
        <w:t xml:space="preserve"> </w:t>
      </w:r>
      <w:hyperlink r:id="rId15" w:history="1">
        <w:r w:rsidRPr="00C40EB0">
          <w:rPr>
            <w:rStyle w:val="Hyperlink"/>
            <w:rFonts w:ascii="Arial" w:hAnsi="Arial" w:cs="Arial"/>
          </w:rPr>
          <w:t>https://www.who.int/news/item/28-11-2022-who-recommends-new-name-for-monkeypox-disease</w:t>
        </w:r>
      </w:hyperlink>
    </w:p>
    <w:p w14:paraId="082A2B18" w14:textId="77777777" w:rsidR="00DD7D30" w:rsidRDefault="00DD7D30" w:rsidP="00DD7D30">
      <w:pPr>
        <w:pStyle w:val="FootnoteText"/>
      </w:pPr>
    </w:p>
  </w:footnote>
  <w:footnote w:id="19">
    <w:p w14:paraId="54C3ED37" w14:textId="77777777" w:rsidR="00DD7D30" w:rsidRDefault="00DD7D30" w:rsidP="00DD7D30">
      <w:pPr>
        <w:pStyle w:val="FootnoteText"/>
      </w:pPr>
      <w:r>
        <w:rPr>
          <w:rStyle w:val="FootnoteReference"/>
        </w:rPr>
        <w:footnoteRef/>
      </w:r>
      <w:r>
        <w:t xml:space="preserve"> </w:t>
      </w:r>
      <w:hyperlink r:id="rId16" w:history="1">
        <w:r w:rsidRPr="007C0C21">
          <w:rPr>
            <w:rStyle w:val="Hyperlink"/>
          </w:rPr>
          <w:t>Mpox Epidemiological Overview</w:t>
        </w:r>
      </w:hyperlink>
      <w:r>
        <w:t>- 11 October</w:t>
      </w:r>
    </w:p>
  </w:footnote>
  <w:footnote w:id="20">
    <w:p w14:paraId="7B704B57" w14:textId="77777777" w:rsidR="00DD7D30" w:rsidRDefault="00DD7D30" w:rsidP="00DD7D30">
      <w:pPr>
        <w:pStyle w:val="FootnoteText"/>
      </w:pPr>
      <w:r>
        <w:rPr>
          <w:rStyle w:val="FootnoteReference"/>
        </w:rPr>
        <w:footnoteRef/>
      </w:r>
      <w:r>
        <w:t xml:space="preserve"> </w:t>
      </w:r>
      <w:hyperlink r:id="rId17" w:anchor="tab=tab_2" w:history="1">
        <w:r w:rsidRPr="00D42C91">
          <w:rPr>
            <w:rStyle w:val="Hyperlink"/>
          </w:rPr>
          <w:t>WHO: Cervical Cancer</w:t>
        </w:r>
      </w:hyperlink>
    </w:p>
  </w:footnote>
  <w:footnote w:id="21">
    <w:p w14:paraId="1E074C2F" w14:textId="77777777" w:rsidR="00DD7D30" w:rsidRDefault="00DD7D30" w:rsidP="00DD7D30">
      <w:pPr>
        <w:pStyle w:val="FootnoteText"/>
      </w:pPr>
      <w:r>
        <w:rPr>
          <w:rStyle w:val="FootnoteReference"/>
        </w:rPr>
        <w:footnoteRef/>
      </w:r>
      <w:r>
        <w:t xml:space="preserve"> </w:t>
      </w:r>
      <w:hyperlink r:id="rId18" w:history="1">
        <w:r w:rsidRPr="00E12F69">
          <w:rPr>
            <w:rStyle w:val="Hyperlink"/>
          </w:rPr>
          <w:t>Encouraging Uptake of the HPV Vaccine: A Guide for Nurses</w:t>
        </w:r>
      </w:hyperlink>
    </w:p>
  </w:footnote>
  <w:footnote w:id="22">
    <w:p w14:paraId="1902590E" w14:textId="77777777" w:rsidR="00DD7D30" w:rsidRDefault="00DD7D30" w:rsidP="00DD7D30">
      <w:pPr>
        <w:pStyle w:val="FootnoteText"/>
      </w:pPr>
      <w:r>
        <w:rPr>
          <w:rStyle w:val="FootnoteReference"/>
        </w:rPr>
        <w:footnoteRef/>
      </w:r>
      <w:r>
        <w:t xml:space="preserve"> WHO Guidelines on Teenage Pregnancy</w:t>
      </w:r>
    </w:p>
    <w:p w14:paraId="0A1F277C" w14:textId="77777777" w:rsidR="00DD7D30" w:rsidRDefault="00BC29F1" w:rsidP="00DD7D30">
      <w:pPr>
        <w:pStyle w:val="FootnoteText"/>
      </w:pPr>
      <w:hyperlink r:id="rId19" w:anchor=":~:text=Adolescent%20mothers%20(aged%2010%E2%80%9319,birth%20and%20severe%20neonatal%20condition" w:history="1">
        <w:r w:rsidR="00DD7D30" w:rsidRPr="00B71931">
          <w:rPr>
            <w:rStyle w:val="Hyperlink"/>
          </w:rPr>
          <w:t>https://www.who.int/news-room/fact-sheets/detail/adolescent-pregnancy#:~:text=Adolescent%20mothers%20(aged%2010%E2%80%9319,birth%20and%20severe%20neonatal%20condition</w:t>
        </w:r>
      </w:hyperlink>
      <w:r w:rsidR="00DD7D30" w:rsidRPr="00DC0A2B">
        <w:t>.</w:t>
      </w:r>
    </w:p>
    <w:p w14:paraId="683A78C4" w14:textId="77777777" w:rsidR="00DD7D30" w:rsidRDefault="00DD7D30" w:rsidP="00DD7D30">
      <w:pPr>
        <w:pStyle w:val="FootnoteText"/>
      </w:pPr>
    </w:p>
  </w:footnote>
  <w:footnote w:id="23">
    <w:p w14:paraId="2637E44D" w14:textId="77777777" w:rsidR="00DD7D30" w:rsidRDefault="00DD7D30" w:rsidP="00DD7D30">
      <w:pPr>
        <w:pStyle w:val="FootnoteText"/>
      </w:pPr>
      <w:r>
        <w:rPr>
          <w:rStyle w:val="FootnoteReference"/>
        </w:rPr>
        <w:footnoteRef/>
      </w:r>
      <w:r>
        <w:t xml:space="preserve"> SPLASH Report</w:t>
      </w:r>
    </w:p>
  </w:footnote>
  <w:footnote w:id="24">
    <w:p w14:paraId="493E236E" w14:textId="77777777" w:rsidR="00DD7D30" w:rsidRDefault="00DD7D30" w:rsidP="00DD7D30">
      <w:pPr>
        <w:pStyle w:val="FootnoteText"/>
      </w:pPr>
      <w:r>
        <w:rPr>
          <w:rStyle w:val="FootnoteReference"/>
        </w:rPr>
        <w:footnoteRef/>
      </w:r>
      <w:r>
        <w:t xml:space="preserve"> </w:t>
      </w:r>
      <w:hyperlink r:id="rId20" w:history="1">
        <w:r w:rsidRPr="00D33814">
          <w:rPr>
            <w:rStyle w:val="Hyperlink"/>
          </w:rPr>
          <w:t>A Framework for Sexual Health Improvement in England</w:t>
        </w:r>
      </w:hyperlink>
    </w:p>
  </w:footnote>
  <w:footnote w:id="25">
    <w:p w14:paraId="6FE21B69" w14:textId="77777777" w:rsidR="00DD7D30" w:rsidRDefault="00DD7D30" w:rsidP="00DD7D30">
      <w:pPr>
        <w:pStyle w:val="FootnoteText"/>
      </w:pPr>
      <w:r>
        <w:rPr>
          <w:rStyle w:val="FootnoteReference"/>
        </w:rPr>
        <w:footnoteRef/>
      </w:r>
      <w:r>
        <w:t xml:space="preserve"> </w:t>
      </w:r>
      <w:hyperlink r:id="rId21" w:history="1">
        <w:r w:rsidRPr="00E3731B">
          <w:rPr>
            <w:rStyle w:val="Hyperlink"/>
          </w:rPr>
          <w:t>Indices of Multiple Deprivation in York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CDD8" w14:textId="654A3A5B" w:rsidR="00DD7D30" w:rsidRDefault="00DD7D30">
    <w:pPr>
      <w:pStyle w:val="Header"/>
    </w:pPr>
    <w:r>
      <w:t>Sexual Health Needs Assessment, City of York 2022</w:t>
    </w:r>
  </w:p>
  <w:p w14:paraId="3FCCEFAE" w14:textId="77777777" w:rsidR="00DD7D30" w:rsidRDefault="00DD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93"/>
    <w:multiLevelType w:val="hybridMultilevel"/>
    <w:tmpl w:val="42B8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6E9F"/>
    <w:multiLevelType w:val="hybridMultilevel"/>
    <w:tmpl w:val="44389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C6416"/>
    <w:multiLevelType w:val="hybridMultilevel"/>
    <w:tmpl w:val="7B304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A2663"/>
    <w:multiLevelType w:val="hybridMultilevel"/>
    <w:tmpl w:val="DB2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21148"/>
    <w:multiLevelType w:val="multilevel"/>
    <w:tmpl w:val="47E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95987"/>
    <w:multiLevelType w:val="hybridMultilevel"/>
    <w:tmpl w:val="B6C0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30337"/>
    <w:multiLevelType w:val="hybridMultilevel"/>
    <w:tmpl w:val="03C8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56391"/>
    <w:multiLevelType w:val="hybridMultilevel"/>
    <w:tmpl w:val="108E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336E4"/>
    <w:multiLevelType w:val="multilevel"/>
    <w:tmpl w:val="15D6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E22CE4"/>
    <w:multiLevelType w:val="multilevel"/>
    <w:tmpl w:val="EFE24DFA"/>
    <w:lvl w:ilvl="0">
      <w:start w:val="1"/>
      <w:numFmt w:val="decimal"/>
      <w:lvlText w:val="%1."/>
      <w:lvlJc w:val="left"/>
      <w:pPr>
        <w:ind w:left="720" w:hanging="360"/>
      </w:pPr>
      <w:rPr>
        <w:rFonts w:asciiTheme="majorHAnsi" w:hAnsiTheme="majorHAnsi" w:cstheme="majorBidi" w:hint="default"/>
        <w:color w:val="2F5496" w:themeColor="accent1" w:themeShade="BF"/>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0C035E"/>
    <w:multiLevelType w:val="hybridMultilevel"/>
    <w:tmpl w:val="B8006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2A1204"/>
    <w:multiLevelType w:val="hybridMultilevel"/>
    <w:tmpl w:val="B6DA6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021A9"/>
    <w:multiLevelType w:val="hybridMultilevel"/>
    <w:tmpl w:val="2544001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3" w15:restartNumberingAfterBreak="0">
    <w:nsid w:val="56CF14D4"/>
    <w:multiLevelType w:val="hybridMultilevel"/>
    <w:tmpl w:val="88A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44D57"/>
    <w:multiLevelType w:val="hybridMultilevel"/>
    <w:tmpl w:val="83A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15A4B"/>
    <w:multiLevelType w:val="hybridMultilevel"/>
    <w:tmpl w:val="81DC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418B7"/>
    <w:multiLevelType w:val="hybridMultilevel"/>
    <w:tmpl w:val="D810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E5008"/>
    <w:multiLevelType w:val="multilevel"/>
    <w:tmpl w:val="0C3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96D5F"/>
    <w:multiLevelType w:val="hybridMultilevel"/>
    <w:tmpl w:val="40C2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8"/>
  </w:num>
  <w:num w:numId="5">
    <w:abstractNumId w:val="4"/>
  </w:num>
  <w:num w:numId="6">
    <w:abstractNumId w:val="5"/>
  </w:num>
  <w:num w:numId="7">
    <w:abstractNumId w:val="7"/>
  </w:num>
  <w:num w:numId="8">
    <w:abstractNumId w:val="13"/>
  </w:num>
  <w:num w:numId="9">
    <w:abstractNumId w:val="0"/>
  </w:num>
  <w:num w:numId="10">
    <w:abstractNumId w:val="3"/>
  </w:num>
  <w:num w:numId="11">
    <w:abstractNumId w:val="15"/>
  </w:num>
  <w:num w:numId="12">
    <w:abstractNumId w:val="12"/>
  </w:num>
  <w:num w:numId="13">
    <w:abstractNumId w:val="16"/>
  </w:num>
  <w:num w:numId="14">
    <w:abstractNumId w:val="8"/>
  </w:num>
  <w:num w:numId="15">
    <w:abstractNumId w:val="11"/>
  </w:num>
  <w:num w:numId="16">
    <w:abstractNumId w:val="1"/>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30"/>
    <w:rsid w:val="00072BB8"/>
    <w:rsid w:val="001140BD"/>
    <w:rsid w:val="001572DB"/>
    <w:rsid w:val="0016053E"/>
    <w:rsid w:val="0029356D"/>
    <w:rsid w:val="002956A6"/>
    <w:rsid w:val="002B0111"/>
    <w:rsid w:val="00340097"/>
    <w:rsid w:val="00371F7C"/>
    <w:rsid w:val="003743C8"/>
    <w:rsid w:val="003F562E"/>
    <w:rsid w:val="00416EE5"/>
    <w:rsid w:val="004E7C78"/>
    <w:rsid w:val="00530E84"/>
    <w:rsid w:val="00553497"/>
    <w:rsid w:val="005726B0"/>
    <w:rsid w:val="005D28E5"/>
    <w:rsid w:val="005D7E13"/>
    <w:rsid w:val="00681222"/>
    <w:rsid w:val="006853C6"/>
    <w:rsid w:val="00692C80"/>
    <w:rsid w:val="006F0A27"/>
    <w:rsid w:val="00712BB4"/>
    <w:rsid w:val="007A027F"/>
    <w:rsid w:val="007B668B"/>
    <w:rsid w:val="00815BD0"/>
    <w:rsid w:val="0087770E"/>
    <w:rsid w:val="008B4319"/>
    <w:rsid w:val="008E6E94"/>
    <w:rsid w:val="008F71F7"/>
    <w:rsid w:val="00915B26"/>
    <w:rsid w:val="00915C83"/>
    <w:rsid w:val="009369EF"/>
    <w:rsid w:val="0094529B"/>
    <w:rsid w:val="009A1712"/>
    <w:rsid w:val="00A401A2"/>
    <w:rsid w:val="00A43581"/>
    <w:rsid w:val="00AA1C01"/>
    <w:rsid w:val="00B56577"/>
    <w:rsid w:val="00B777CD"/>
    <w:rsid w:val="00B94D03"/>
    <w:rsid w:val="00BC29F1"/>
    <w:rsid w:val="00BF18DD"/>
    <w:rsid w:val="00C015E2"/>
    <w:rsid w:val="00C14229"/>
    <w:rsid w:val="00C47127"/>
    <w:rsid w:val="00CC31C6"/>
    <w:rsid w:val="00CE5EA3"/>
    <w:rsid w:val="00D0153B"/>
    <w:rsid w:val="00D26EF8"/>
    <w:rsid w:val="00DA0C0E"/>
    <w:rsid w:val="00DD2092"/>
    <w:rsid w:val="00DD7D30"/>
    <w:rsid w:val="00E07A3E"/>
    <w:rsid w:val="00F1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5F58"/>
  <w15:chartTrackingRefBased/>
  <w15:docId w15:val="{590756FE-00D6-4FF1-92DE-3ED56747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30"/>
  </w:style>
  <w:style w:type="paragraph" w:styleId="Heading1">
    <w:name w:val="heading 1"/>
    <w:basedOn w:val="Normal"/>
    <w:next w:val="Normal"/>
    <w:link w:val="Heading1Char"/>
    <w:uiPriority w:val="9"/>
    <w:qFormat/>
    <w:rsid w:val="00DD7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7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30E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D3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7D30"/>
    <w:pPr>
      <w:outlineLvl w:val="9"/>
    </w:pPr>
    <w:rPr>
      <w:lang w:val="en-US"/>
    </w:rPr>
  </w:style>
  <w:style w:type="character" w:styleId="Hyperlink">
    <w:name w:val="Hyperlink"/>
    <w:basedOn w:val="DefaultParagraphFont"/>
    <w:uiPriority w:val="99"/>
    <w:unhideWhenUsed/>
    <w:rsid w:val="00DD7D30"/>
    <w:rPr>
      <w:color w:val="0563C1" w:themeColor="hyperlink"/>
      <w:u w:val="single"/>
    </w:rPr>
  </w:style>
  <w:style w:type="paragraph" w:styleId="TOC1">
    <w:name w:val="toc 1"/>
    <w:basedOn w:val="Normal"/>
    <w:next w:val="Normal"/>
    <w:autoRedefine/>
    <w:uiPriority w:val="39"/>
    <w:unhideWhenUsed/>
    <w:rsid w:val="00DD7D30"/>
    <w:pPr>
      <w:spacing w:after="100"/>
    </w:pPr>
  </w:style>
  <w:style w:type="paragraph" w:styleId="TOC2">
    <w:name w:val="toc 2"/>
    <w:basedOn w:val="Normal"/>
    <w:next w:val="Normal"/>
    <w:autoRedefine/>
    <w:uiPriority w:val="39"/>
    <w:unhideWhenUsed/>
    <w:rsid w:val="00DD7D30"/>
    <w:pPr>
      <w:tabs>
        <w:tab w:val="right" w:leader="dot" w:pos="9016"/>
      </w:tabs>
      <w:spacing w:after="100"/>
      <w:ind w:left="220"/>
    </w:pPr>
  </w:style>
  <w:style w:type="paragraph" w:styleId="TOC3">
    <w:name w:val="toc 3"/>
    <w:basedOn w:val="Normal"/>
    <w:next w:val="Normal"/>
    <w:autoRedefine/>
    <w:uiPriority w:val="39"/>
    <w:unhideWhenUsed/>
    <w:rsid w:val="00DD7D30"/>
    <w:pPr>
      <w:spacing w:after="100"/>
      <w:ind w:left="440"/>
    </w:pPr>
  </w:style>
  <w:style w:type="paragraph" w:styleId="ListParagraph">
    <w:name w:val="List Paragraph"/>
    <w:basedOn w:val="Normal"/>
    <w:uiPriority w:val="34"/>
    <w:qFormat/>
    <w:rsid w:val="00DD7D30"/>
    <w:pPr>
      <w:ind w:left="720"/>
      <w:contextualSpacing/>
    </w:pPr>
  </w:style>
  <w:style w:type="character" w:customStyle="1" w:styleId="dynamic">
    <w:name w:val="dynamic"/>
    <w:basedOn w:val="DefaultParagraphFont"/>
    <w:rsid w:val="00DD7D30"/>
  </w:style>
  <w:style w:type="character" w:customStyle="1" w:styleId="Heading2Char">
    <w:name w:val="Heading 2 Char"/>
    <w:basedOn w:val="DefaultParagraphFont"/>
    <w:link w:val="Heading2"/>
    <w:uiPriority w:val="9"/>
    <w:rsid w:val="00DD7D3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D7D30"/>
    <w:rPr>
      <w:b/>
      <w:bCs/>
    </w:rPr>
  </w:style>
  <w:style w:type="paragraph" w:styleId="FootnoteText">
    <w:name w:val="footnote text"/>
    <w:basedOn w:val="Normal"/>
    <w:link w:val="FootnoteTextChar"/>
    <w:uiPriority w:val="99"/>
    <w:semiHidden/>
    <w:unhideWhenUsed/>
    <w:rsid w:val="00DD7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D30"/>
    <w:rPr>
      <w:sz w:val="20"/>
      <w:szCs w:val="20"/>
    </w:rPr>
  </w:style>
  <w:style w:type="character" w:styleId="FootnoteReference">
    <w:name w:val="footnote reference"/>
    <w:basedOn w:val="DefaultParagraphFont"/>
    <w:uiPriority w:val="99"/>
    <w:semiHidden/>
    <w:unhideWhenUsed/>
    <w:rsid w:val="00DD7D30"/>
    <w:rPr>
      <w:vertAlign w:val="superscript"/>
    </w:rPr>
  </w:style>
  <w:style w:type="character" w:customStyle="1" w:styleId="Heading3Char">
    <w:name w:val="Heading 3 Char"/>
    <w:basedOn w:val="DefaultParagraphFont"/>
    <w:link w:val="Heading3"/>
    <w:uiPriority w:val="9"/>
    <w:rsid w:val="00DD7D30"/>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D7D30"/>
    <w:pPr>
      <w:spacing w:after="200" w:line="240" w:lineRule="auto"/>
    </w:pPr>
    <w:rPr>
      <w:i/>
      <w:iCs/>
      <w:color w:val="44546A" w:themeColor="text2"/>
      <w:sz w:val="18"/>
      <w:szCs w:val="18"/>
    </w:rPr>
  </w:style>
  <w:style w:type="paragraph" w:styleId="NormalWeb">
    <w:name w:val="Normal (Web)"/>
    <w:basedOn w:val="Normal"/>
    <w:uiPriority w:val="99"/>
    <w:semiHidden/>
    <w:unhideWhenUsed/>
    <w:rsid w:val="00DD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D30"/>
  </w:style>
  <w:style w:type="paragraph" w:styleId="Footer">
    <w:name w:val="footer"/>
    <w:basedOn w:val="Normal"/>
    <w:link w:val="FooterChar"/>
    <w:uiPriority w:val="99"/>
    <w:unhideWhenUsed/>
    <w:rsid w:val="00DD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D30"/>
  </w:style>
  <w:style w:type="character" w:customStyle="1" w:styleId="Heading4Char">
    <w:name w:val="Heading 4 Char"/>
    <w:basedOn w:val="DefaultParagraphFont"/>
    <w:link w:val="Heading4"/>
    <w:uiPriority w:val="9"/>
    <w:rsid w:val="00530E8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07A3E"/>
    <w:rPr>
      <w:color w:val="605E5C"/>
      <w:shd w:val="clear" w:color="auto" w:fill="E1DFDD"/>
    </w:rPr>
  </w:style>
  <w:style w:type="character" w:styleId="CommentReference">
    <w:name w:val="annotation reference"/>
    <w:basedOn w:val="DefaultParagraphFont"/>
    <w:uiPriority w:val="99"/>
    <w:semiHidden/>
    <w:unhideWhenUsed/>
    <w:rsid w:val="00A401A2"/>
    <w:rPr>
      <w:sz w:val="16"/>
      <w:szCs w:val="16"/>
    </w:rPr>
  </w:style>
  <w:style w:type="paragraph" w:styleId="CommentText">
    <w:name w:val="annotation text"/>
    <w:basedOn w:val="Normal"/>
    <w:link w:val="CommentTextChar"/>
    <w:uiPriority w:val="99"/>
    <w:semiHidden/>
    <w:unhideWhenUsed/>
    <w:rsid w:val="00A401A2"/>
    <w:pPr>
      <w:spacing w:line="240" w:lineRule="auto"/>
    </w:pPr>
    <w:rPr>
      <w:sz w:val="20"/>
      <w:szCs w:val="20"/>
    </w:rPr>
  </w:style>
  <w:style w:type="character" w:customStyle="1" w:styleId="CommentTextChar">
    <w:name w:val="Comment Text Char"/>
    <w:basedOn w:val="DefaultParagraphFont"/>
    <w:link w:val="CommentText"/>
    <w:uiPriority w:val="99"/>
    <w:semiHidden/>
    <w:rsid w:val="00A401A2"/>
    <w:rPr>
      <w:sz w:val="20"/>
      <w:szCs w:val="20"/>
    </w:rPr>
  </w:style>
  <w:style w:type="paragraph" w:styleId="CommentSubject">
    <w:name w:val="annotation subject"/>
    <w:basedOn w:val="CommentText"/>
    <w:next w:val="CommentText"/>
    <w:link w:val="CommentSubjectChar"/>
    <w:uiPriority w:val="99"/>
    <w:semiHidden/>
    <w:unhideWhenUsed/>
    <w:rsid w:val="00A401A2"/>
    <w:rPr>
      <w:b/>
      <w:bCs/>
    </w:rPr>
  </w:style>
  <w:style w:type="character" w:customStyle="1" w:styleId="CommentSubjectChar">
    <w:name w:val="Comment Subject Char"/>
    <w:basedOn w:val="CommentTextChar"/>
    <w:link w:val="CommentSubject"/>
    <w:uiPriority w:val="99"/>
    <w:semiHidden/>
    <w:rsid w:val="00A40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ngertips.phe.org.uk/static-reports/sexualhealth-reports/2022/E06000014.html?area-name=York"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opendata.org" TargetMode="External"/><Relationship Id="rId24" Type="http://schemas.openxmlformats.org/officeDocument/2006/relationships/image" Target="media/image12.JPG"/><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yperlink" Target="https://www.healthyork.org/%20"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peoplepopulationandcommunity/culturalidentity/genderidentity/bulletins/genderidentityenglandandwales/census2021" TargetMode="External"/><Relationship Id="rId13" Type="http://schemas.openxmlformats.org/officeDocument/2006/relationships/hyperlink" Target="https://www.who.int/news-room/fact-sheets/detail/sexually-transmitted-infections-(stis)" TargetMode="External"/><Relationship Id="rId18" Type="http://schemas.openxmlformats.org/officeDocument/2006/relationships/hyperlink" Target="https://www.independentnurse.co.uk/clinical-article/encouraging-uptake-of-the-hpv-vaccine-a-guide-for-nurses/247718/" TargetMode="External"/><Relationship Id="rId3" Type="http://schemas.openxmlformats.org/officeDocument/2006/relationships/hyperlink" Target="https://www.nice.org.uk/guidance/ph51" TargetMode="External"/><Relationship Id="rId21" Type="http://schemas.openxmlformats.org/officeDocument/2006/relationships/hyperlink" Target="https://www.data.gov.uk/dataset/a64b08cf-3b02-4d56-bcf7-fd69f24b8bf5/indices-of-multiple-deprivation-in-york" TargetMode="External"/><Relationship Id="rId7" Type="http://schemas.openxmlformats.org/officeDocument/2006/relationships/hyperlink" Target="https://www.ons.gov.uk/peoplepopulationandcommunity/culturalidentity/sexuality/bulletins/sexualorientationenglandandwales/census2021" TargetMode="External"/><Relationship Id="rId12" Type="http://schemas.openxmlformats.org/officeDocument/2006/relationships/hyperlink" Target="https://fingertips.phe.org.uk/search/fertility" TargetMode="External"/><Relationship Id="rId17" Type="http://schemas.openxmlformats.org/officeDocument/2006/relationships/hyperlink" Target="https://www.who.int/health-topics/cervical-cancer" TargetMode="External"/><Relationship Id="rId2" Type="http://schemas.openxmlformats.org/officeDocument/2006/relationships/hyperlink" Target="https://www.gov.uk/guidance/commissioning-regional-and-local-sexual-health-services" TargetMode="External"/><Relationship Id="rId16" Type="http://schemas.openxmlformats.org/officeDocument/2006/relationships/hyperlink" Target="https://www.gov.uk/government/publications/monkeypox-outbreak-epidemiological-overview/monkeypox-outbreak-epidemiological-overview-11-october-2022" TargetMode="External"/><Relationship Id="rId20" Type="http://schemas.openxmlformats.org/officeDocument/2006/relationships/hyperlink" Target="https://assets.publishing.service.gov.uk/government/uploads/system/uploads/attachment_data/file/142592/9287-2900714-TSO-SexualHealthPolicyNW_ACCESSIBLE.pdf" TargetMode="External"/><Relationship Id="rId1" Type="http://schemas.openxmlformats.org/officeDocument/2006/relationships/hyperlink" Target="https://fingertips.phe.org.uk/static-reports/sexualhealth-reports/2022/E06000014.html?area-name=York" TargetMode="External"/><Relationship Id="rId6" Type="http://schemas.openxmlformats.org/officeDocument/2006/relationships/hyperlink" Target="https://www.ons.gov.uk/peoplepopulationandcommunity/culturalidentity/sexuality/bulletins/sexualidentityuk/2020" TargetMode="External"/><Relationship Id="rId11" Type="http://schemas.openxmlformats.org/officeDocument/2006/relationships/hyperlink" Target="https://assets.publishing.service.gov.uk/government/uploads/system/uploads/attachment_data/file/984393/SRH_variation_in_outcomes_toolkit_May_2021.pdf" TargetMode="External"/><Relationship Id="rId5" Type="http://schemas.openxmlformats.org/officeDocument/2006/relationships/hyperlink" Target="https://data.yorkopendata.org/dataset?sort=metadata_modified+desc&amp;tags=ward+profiles" TargetMode="External"/><Relationship Id="rId15" Type="http://schemas.openxmlformats.org/officeDocument/2006/relationships/hyperlink" Target="https://www.who.int/news/item/28-11-2022-who-recommends-new-name-for-monkeypox-disease" TargetMode="External"/><Relationship Id="rId10" Type="http://schemas.openxmlformats.org/officeDocument/2006/relationships/hyperlink" Target="https://data.yorkopendata.org/dataset/kpi-hlth02a/resource/f28fed25-2101-4852-b59f-d7948dc17cb9" TargetMode="External"/><Relationship Id="rId19" Type="http://schemas.openxmlformats.org/officeDocument/2006/relationships/hyperlink" Target="https://www.who.int/news-room/fact-sheets/detail/adolescent-pregnancy" TargetMode="External"/><Relationship Id="rId4" Type="http://schemas.openxmlformats.org/officeDocument/2006/relationships/hyperlink" Target="https://www.ons.gov.uk/visualisations/censuspopulationchange/E06000014/" TargetMode="External"/><Relationship Id="rId9" Type="http://schemas.openxmlformats.org/officeDocument/2006/relationships/hyperlink" Target="https://www.ons.gov.uk/peoplepopulationandcommunity/culturalidentity/ethnicity/bulletins/ethnicgroupenglandandwales/census2021" TargetMode="External"/><Relationship Id="rId14" Type="http://schemas.openxmlformats.org/officeDocument/2006/relationships/hyperlink" Target="https://assets.publishing.service.gov.uk/government/uploads/system/uploads/attachment_data/file/806076/Addressing_the_increase_in_syphilis_in_England_Action_Plan_June_2019.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kerhe\AppData\Local\Microsoft\Windows\INetCache\Content.Outlook\D872QGRA\Template%20pop%20pyramid%20construct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ome\home01\bakerhe\Personal\Teenage%20Pregnancy.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home\home01\bakerhe\Personal\Teenage%20Pregnanc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200"/>
              <a:t>York Population Pyramid v England (Census 2021)</a:t>
            </a:r>
          </a:p>
        </c:rich>
      </c:tx>
      <c:overlay val="0"/>
    </c:title>
    <c:autoTitleDeleted val="0"/>
    <c:plotArea>
      <c:layout>
        <c:manualLayout>
          <c:layoutTarget val="inner"/>
          <c:xMode val="edge"/>
          <c:yMode val="edge"/>
          <c:x val="0.17182606942206521"/>
          <c:y val="0.11489095512020343"/>
          <c:w val="0.77277371387790861"/>
          <c:h val="0.75863656271254731"/>
        </c:manualLayout>
      </c:layout>
      <c:barChart>
        <c:barDir val="bar"/>
        <c:grouping val="clustered"/>
        <c:varyColors val="0"/>
        <c:ser>
          <c:idx val="2"/>
          <c:order val="0"/>
          <c:tx>
            <c:strRef>
              <c:f>'York &amp; England Chart'!$C$2</c:f>
              <c:strCache>
                <c:ptCount val="1"/>
                <c:pt idx="0">
                  <c:v>York Males</c:v>
                </c:pt>
              </c:strCache>
            </c:strRef>
          </c:tx>
          <c:spPr>
            <a:solidFill>
              <a:srgbClr val="FF0000"/>
            </a:solidFill>
            <a:ln>
              <a:solidFill>
                <a:schemeClr val="tx1"/>
              </a:solidFill>
              <a:prstDash val="solid"/>
            </a:ln>
          </c:spPr>
          <c:invertIfNegative val="0"/>
          <c:cat>
            <c:strRef>
              <c:f>'York &amp; England Chart'!$B$3:$B$21</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 and over</c:v>
                </c:pt>
              </c:strCache>
            </c:strRef>
          </c:cat>
          <c:val>
            <c:numRef>
              <c:f>'York &amp; England Chart'!$C$3:$C$21</c:f>
              <c:numCache>
                <c:formatCode>0.0%</c:formatCode>
                <c:ptCount val="19"/>
                <c:pt idx="0">
                  <c:v>-4.5100000000000001E-2</c:v>
                </c:pt>
                <c:pt idx="1">
                  <c:v>-5.2299999999999999E-2</c:v>
                </c:pt>
                <c:pt idx="2">
                  <c:v>-5.4300000000000001E-2</c:v>
                </c:pt>
                <c:pt idx="3">
                  <c:v>-7.2700000000000001E-2</c:v>
                </c:pt>
                <c:pt idx="4">
                  <c:v>-9.7299999999999998E-2</c:v>
                </c:pt>
                <c:pt idx="5">
                  <c:v>-6.4500000000000002E-2</c:v>
                </c:pt>
                <c:pt idx="6" formatCode="0.00%">
                  <c:v>-6.4500000000000002E-2</c:v>
                </c:pt>
                <c:pt idx="7" formatCode="0.00%">
                  <c:v>-6.3500000000000001E-2</c:v>
                </c:pt>
                <c:pt idx="8" formatCode="0.00%">
                  <c:v>-5.9400000000000001E-2</c:v>
                </c:pt>
                <c:pt idx="9" formatCode="0.00%">
                  <c:v>-6.0499999999999998E-2</c:v>
                </c:pt>
                <c:pt idx="10" formatCode="0.00%">
                  <c:v>-6.6600000000000006E-2</c:v>
                </c:pt>
                <c:pt idx="11" formatCode="0.00%">
                  <c:v>-6.5600000000000006E-2</c:v>
                </c:pt>
                <c:pt idx="12" formatCode="0.00%">
                  <c:v>-5.6399999999999999E-2</c:v>
                </c:pt>
                <c:pt idx="13" formatCode="0.00%">
                  <c:v>-4.82E-2</c:v>
                </c:pt>
                <c:pt idx="14" formatCode="0.00%">
                  <c:v>-5.0200000000000002E-2</c:v>
                </c:pt>
                <c:pt idx="15" formatCode="0.00%">
                  <c:v>-3.4799999999999998E-2</c:v>
                </c:pt>
                <c:pt idx="16" formatCode="0.00%">
                  <c:v>-2.46E-2</c:v>
                </c:pt>
                <c:pt idx="17" formatCode="0.00%">
                  <c:v>-1.3299999999999999E-2</c:v>
                </c:pt>
                <c:pt idx="18" formatCode="0.00%">
                  <c:v>-6.1000000000000004E-3</c:v>
                </c:pt>
              </c:numCache>
            </c:numRef>
          </c:val>
          <c:extLst>
            <c:ext xmlns:c16="http://schemas.microsoft.com/office/drawing/2014/chart" uri="{C3380CC4-5D6E-409C-BE32-E72D297353CC}">
              <c16:uniqueId val="{00000000-5336-4BC1-8C3F-FE902272AF49}"/>
            </c:ext>
          </c:extLst>
        </c:ser>
        <c:ser>
          <c:idx val="3"/>
          <c:order val="1"/>
          <c:tx>
            <c:strRef>
              <c:f>'York &amp; England Chart'!$D$2</c:f>
              <c:strCache>
                <c:ptCount val="1"/>
                <c:pt idx="0">
                  <c:v>York Females</c:v>
                </c:pt>
              </c:strCache>
            </c:strRef>
          </c:tx>
          <c:spPr>
            <a:solidFill>
              <a:schemeClr val="tx2">
                <a:lumMod val="40000"/>
                <a:lumOff val="60000"/>
              </a:schemeClr>
            </a:solidFill>
            <a:ln>
              <a:solidFill>
                <a:schemeClr val="tx1"/>
              </a:solidFill>
              <a:prstDash val="solid"/>
            </a:ln>
          </c:spPr>
          <c:invertIfNegative val="0"/>
          <c:cat>
            <c:strRef>
              <c:f>'York &amp; England Chart'!$B$3:$B$21</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 and over</c:v>
                </c:pt>
              </c:strCache>
            </c:strRef>
          </c:cat>
          <c:val>
            <c:numRef>
              <c:f>'York &amp; England Chart'!$D$3:$D$21</c:f>
              <c:numCache>
                <c:formatCode>0.0%</c:formatCode>
                <c:ptCount val="19"/>
                <c:pt idx="0">
                  <c:v>3.9899999999999998E-2</c:v>
                </c:pt>
                <c:pt idx="1">
                  <c:v>4.5600000000000002E-2</c:v>
                </c:pt>
                <c:pt idx="2">
                  <c:v>4.7500000000000001E-2</c:v>
                </c:pt>
                <c:pt idx="3">
                  <c:v>7.6999999999999999E-2</c:v>
                </c:pt>
                <c:pt idx="4">
                  <c:v>0.1036</c:v>
                </c:pt>
                <c:pt idx="5">
                  <c:v>6.2700000000000006E-2</c:v>
                </c:pt>
                <c:pt idx="6" formatCode="0.00%">
                  <c:v>6.2700000000000006E-2</c:v>
                </c:pt>
                <c:pt idx="7" formatCode="0.00%">
                  <c:v>6.08E-2</c:v>
                </c:pt>
                <c:pt idx="8" formatCode="0.00%">
                  <c:v>5.7000000000000002E-2</c:v>
                </c:pt>
                <c:pt idx="9" formatCode="0.00%">
                  <c:v>5.8000000000000003E-2</c:v>
                </c:pt>
                <c:pt idx="10" formatCode="0.00%">
                  <c:v>6.4600000000000005E-2</c:v>
                </c:pt>
                <c:pt idx="11" formatCode="0.00%">
                  <c:v>6.2700000000000006E-2</c:v>
                </c:pt>
                <c:pt idx="12" formatCode="0.00%">
                  <c:v>5.4199999999999998E-2</c:v>
                </c:pt>
                <c:pt idx="13" formatCode="0.00%">
                  <c:v>4.8500000000000001E-2</c:v>
                </c:pt>
                <c:pt idx="14" formatCode="0.00%">
                  <c:v>5.3199999999999997E-2</c:v>
                </c:pt>
                <c:pt idx="15" formatCode="0.00%">
                  <c:v>3.9E-2</c:v>
                </c:pt>
                <c:pt idx="16" formatCode="0.00%">
                  <c:v>2.9499999999999998E-2</c:v>
                </c:pt>
                <c:pt idx="17" formatCode="0.00%">
                  <c:v>0.02</c:v>
                </c:pt>
                <c:pt idx="18" formatCode="0.00%">
                  <c:v>1.3299999999999999E-2</c:v>
                </c:pt>
              </c:numCache>
            </c:numRef>
          </c:val>
          <c:extLst>
            <c:ext xmlns:c16="http://schemas.microsoft.com/office/drawing/2014/chart" uri="{C3380CC4-5D6E-409C-BE32-E72D297353CC}">
              <c16:uniqueId val="{00000001-5336-4BC1-8C3F-FE902272AF49}"/>
            </c:ext>
          </c:extLst>
        </c:ser>
        <c:ser>
          <c:idx val="0"/>
          <c:order val="2"/>
          <c:tx>
            <c:strRef>
              <c:f>'York &amp; England Chart'!$E$2</c:f>
              <c:strCache>
                <c:ptCount val="1"/>
                <c:pt idx="0">
                  <c:v>Eng Males</c:v>
                </c:pt>
              </c:strCache>
            </c:strRef>
          </c:tx>
          <c:spPr>
            <a:noFill/>
            <a:ln w="15875">
              <a:solidFill>
                <a:schemeClr val="tx1"/>
              </a:solidFill>
              <a:prstDash val="solid"/>
            </a:ln>
          </c:spPr>
          <c:invertIfNegative val="0"/>
          <c:cat>
            <c:strRef>
              <c:f>'York &amp; England Chart'!$B$3:$B$21</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 and over</c:v>
                </c:pt>
              </c:strCache>
            </c:strRef>
          </c:cat>
          <c:val>
            <c:numRef>
              <c:f>'York &amp; England Chart'!$E$3:$E$21</c:f>
              <c:numCache>
                <c:formatCode>0.0%</c:formatCode>
                <c:ptCount val="19"/>
                <c:pt idx="0">
                  <c:v>-5.7000000000000002E-2</c:v>
                </c:pt>
                <c:pt idx="1">
                  <c:v>-6.2E-2</c:v>
                </c:pt>
                <c:pt idx="2">
                  <c:v>-6.3200000000000006E-2</c:v>
                </c:pt>
                <c:pt idx="3">
                  <c:v>-5.9700000000000003E-2</c:v>
                </c:pt>
                <c:pt idx="4">
                  <c:v>-6.1899999999999997E-2</c:v>
                </c:pt>
                <c:pt idx="5">
                  <c:v>-6.5699999999999995E-2</c:v>
                </c:pt>
                <c:pt idx="6" formatCode="0.00%">
                  <c:v>-6.9000000000000006E-2</c:v>
                </c:pt>
                <c:pt idx="7" formatCode="0.00%">
                  <c:v>-6.6600000000000006E-2</c:v>
                </c:pt>
                <c:pt idx="8" formatCode="0.00%">
                  <c:v>-6.3399999999999998E-2</c:v>
                </c:pt>
                <c:pt idx="9" formatCode="0.00%">
                  <c:v>-6.4299999999999996E-2</c:v>
                </c:pt>
                <c:pt idx="10" formatCode="0.00%">
                  <c:v>-6.9500000000000006E-2</c:v>
                </c:pt>
                <c:pt idx="11" formatCode="0.00%">
                  <c:v>-6.7599999999999993E-2</c:v>
                </c:pt>
                <c:pt idx="12" formatCode="0.00%">
                  <c:v>-5.79E-2</c:v>
                </c:pt>
                <c:pt idx="13" formatCode="0.00%">
                  <c:v>-4.8500000000000001E-2</c:v>
                </c:pt>
                <c:pt idx="14" formatCode="0.00%">
                  <c:v>-4.82E-2</c:v>
                </c:pt>
                <c:pt idx="15" formatCode="0.00%">
                  <c:v>-3.4200000000000001E-2</c:v>
                </c:pt>
                <c:pt idx="16" formatCode="0.00%">
                  <c:v>-2.2700000000000001E-2</c:v>
                </c:pt>
                <c:pt idx="17" formatCode="0.00%">
                  <c:v>-1.2699999999999999E-2</c:v>
                </c:pt>
                <c:pt idx="18" formatCode="0.00%">
                  <c:v>-5.7999999999999996E-3</c:v>
                </c:pt>
              </c:numCache>
            </c:numRef>
          </c:val>
          <c:extLst>
            <c:ext xmlns:c16="http://schemas.microsoft.com/office/drawing/2014/chart" uri="{C3380CC4-5D6E-409C-BE32-E72D297353CC}">
              <c16:uniqueId val="{00000002-5336-4BC1-8C3F-FE902272AF49}"/>
            </c:ext>
          </c:extLst>
        </c:ser>
        <c:ser>
          <c:idx val="1"/>
          <c:order val="3"/>
          <c:tx>
            <c:strRef>
              <c:f>'York &amp; England Chart'!$F$2</c:f>
              <c:strCache>
                <c:ptCount val="1"/>
                <c:pt idx="0">
                  <c:v>Eng Females</c:v>
                </c:pt>
              </c:strCache>
            </c:strRef>
          </c:tx>
          <c:spPr>
            <a:noFill/>
            <a:ln w="12700">
              <a:solidFill>
                <a:schemeClr val="tx1"/>
              </a:solidFill>
              <a:prstDash val="solid"/>
            </a:ln>
            <a:effectLst>
              <a:outerShdw blurRad="50800" dist="50800" dir="5400000" algn="ctr" rotWithShape="0">
                <a:srgbClr val="000000">
                  <a:alpha val="0"/>
                </a:srgbClr>
              </a:outerShdw>
            </a:effectLst>
          </c:spPr>
          <c:invertIfNegative val="0"/>
          <c:cat>
            <c:strRef>
              <c:f>'York &amp; England Chart'!$B$3:$B$21</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 and over</c:v>
                </c:pt>
              </c:strCache>
            </c:strRef>
          </c:cat>
          <c:val>
            <c:numRef>
              <c:f>'York &amp; England Chart'!$F$3:$F$21</c:f>
              <c:numCache>
                <c:formatCode>0.0%</c:formatCode>
                <c:ptCount val="19"/>
                <c:pt idx="0">
                  <c:v>5.21E-2</c:v>
                </c:pt>
                <c:pt idx="1">
                  <c:v>5.67E-2</c:v>
                </c:pt>
                <c:pt idx="2">
                  <c:v>5.7700000000000001E-2</c:v>
                </c:pt>
                <c:pt idx="3">
                  <c:v>5.4399999999999997E-2</c:v>
                </c:pt>
                <c:pt idx="4">
                  <c:v>5.8999999999999997E-2</c:v>
                </c:pt>
                <c:pt idx="5">
                  <c:v>6.5799999999999997E-2</c:v>
                </c:pt>
                <c:pt idx="6" formatCode="0.00%">
                  <c:v>7.0903144584288522E-2</c:v>
                </c:pt>
                <c:pt idx="7" formatCode="0.00%">
                  <c:v>6.775058351859109E-2</c:v>
                </c:pt>
                <c:pt idx="8" formatCode="0.00%">
                  <c:v>6.335295158096256E-2</c:v>
                </c:pt>
                <c:pt idx="9" formatCode="0.00%">
                  <c:v>6.3314801777087232E-2</c:v>
                </c:pt>
                <c:pt idx="10" formatCode="0.00%">
                  <c:v>6.8839587011032224E-2</c:v>
                </c:pt>
                <c:pt idx="11" formatCode="0.00%">
                  <c:v>6.7167931968495201E-2</c:v>
                </c:pt>
                <c:pt idx="12" formatCode="0.00%">
                  <c:v>5.7366900536524969E-2</c:v>
                </c:pt>
                <c:pt idx="13" formatCode="0.00%">
                  <c:v>4.9442145822423067E-2</c:v>
                </c:pt>
                <c:pt idx="14" formatCode="0.00%">
                  <c:v>5.080513426996882E-2</c:v>
                </c:pt>
                <c:pt idx="15" formatCode="0.00%">
                  <c:v>3.7858478100278495E-2</c:v>
                </c:pt>
                <c:pt idx="16" formatCode="0.00%">
                  <c:v>2.7721034761407658E-2</c:v>
                </c:pt>
                <c:pt idx="17" formatCode="0.00%">
                  <c:v>1.8062198052972735E-2</c:v>
                </c:pt>
                <c:pt idx="18" formatCode="0.00%">
                  <c:v>1.1739735101634546E-2</c:v>
                </c:pt>
              </c:numCache>
            </c:numRef>
          </c:val>
          <c:extLst>
            <c:ext xmlns:c16="http://schemas.microsoft.com/office/drawing/2014/chart" uri="{C3380CC4-5D6E-409C-BE32-E72D297353CC}">
              <c16:uniqueId val="{00000003-5336-4BC1-8C3F-FE902272AF49}"/>
            </c:ext>
          </c:extLst>
        </c:ser>
        <c:dLbls>
          <c:showLegendKey val="0"/>
          <c:showVal val="0"/>
          <c:showCatName val="0"/>
          <c:showSerName val="0"/>
          <c:showPercent val="0"/>
          <c:showBubbleSize val="0"/>
        </c:dLbls>
        <c:gapWidth val="0"/>
        <c:overlap val="100"/>
        <c:axId val="107798528"/>
        <c:axId val="107800064"/>
      </c:barChart>
      <c:catAx>
        <c:axId val="107798528"/>
        <c:scaling>
          <c:orientation val="minMax"/>
        </c:scaling>
        <c:delete val="0"/>
        <c:axPos val="l"/>
        <c:numFmt formatCode="General" sourceLinked="0"/>
        <c:majorTickMark val="out"/>
        <c:minorTickMark val="none"/>
        <c:tickLblPos val="low"/>
        <c:txPr>
          <a:bodyPr/>
          <a:lstStyle/>
          <a:p>
            <a:pPr>
              <a:defRPr sz="900"/>
            </a:pPr>
            <a:endParaRPr lang="en-US"/>
          </a:p>
        </c:txPr>
        <c:crossAx val="107800064"/>
        <c:crosses val="autoZero"/>
        <c:auto val="1"/>
        <c:lblAlgn val="ctr"/>
        <c:lblOffset val="100"/>
        <c:noMultiLvlLbl val="0"/>
      </c:catAx>
      <c:valAx>
        <c:axId val="107800064"/>
        <c:scaling>
          <c:orientation val="minMax"/>
          <c:max val="0.12000000000000002"/>
          <c:min val="-0.12000000000000002"/>
        </c:scaling>
        <c:delete val="0"/>
        <c:axPos val="b"/>
        <c:numFmt formatCode="0%;0%" sourceLinked="0"/>
        <c:majorTickMark val="out"/>
        <c:minorTickMark val="none"/>
        <c:tickLblPos val="nextTo"/>
        <c:txPr>
          <a:bodyPr/>
          <a:lstStyle/>
          <a:p>
            <a:pPr>
              <a:defRPr sz="900"/>
            </a:pPr>
            <a:endParaRPr lang="en-US"/>
          </a:p>
        </c:txPr>
        <c:crossAx val="107798528"/>
        <c:crosses val="autoZero"/>
        <c:crossBetween val="between"/>
        <c:majorUnit val="4.0000000000000022E-2"/>
      </c:valAx>
    </c:plotArea>
    <c:legend>
      <c:legendPos val="r"/>
      <c:layout>
        <c:manualLayout>
          <c:xMode val="edge"/>
          <c:yMode val="edge"/>
          <c:x val="0.77590736166788454"/>
          <c:y val="0.1538332916490783"/>
          <c:w val="0.2109866284555644"/>
          <c:h val="0.25379527559055121"/>
        </c:manualLayout>
      </c:layout>
      <c:overlay val="0"/>
    </c:legend>
    <c:plotVisOnly val="1"/>
    <c:dispBlanksAs val="gap"/>
    <c:showDLblsOverMax val="0"/>
  </c:chart>
  <c:spPr>
    <a:ln w="12700">
      <a:solidFill>
        <a:sysClr val="windowText" lastClr="000000"/>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a:t>
            </a:r>
            <a:r>
              <a:rPr lang="en-US" baseline="0"/>
              <a:t> New STI Diagnoses by Age and Gender 2018-2022</a:t>
            </a:r>
            <a:endParaRPr lang="en-US"/>
          </a:p>
        </c:rich>
      </c:tx>
      <c:layout>
        <c:manualLayout>
          <c:xMode val="edge"/>
          <c:yMode val="edge"/>
          <c:x val="0.12653149405328931"/>
          <c:y val="0.1296295943660004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34492563429572"/>
          <c:y val="0.25083333333333335"/>
          <c:w val="0.84193985126859139"/>
          <c:h val="0.5358639545056868"/>
        </c:manualLayout>
      </c:layout>
      <c:barChart>
        <c:barDir val="bar"/>
        <c:grouping val="stacked"/>
        <c:varyColors val="0"/>
        <c:ser>
          <c:idx val="0"/>
          <c:order val="0"/>
          <c:tx>
            <c:strRef>
              <c:f>Sheet4!$L$3</c:f>
              <c:strCache>
                <c:ptCount val="1"/>
                <c:pt idx="0">
                  <c:v>Male</c:v>
                </c:pt>
              </c:strCache>
            </c:strRef>
          </c:tx>
          <c:spPr>
            <a:solidFill>
              <a:schemeClr val="accent1"/>
            </a:solidFill>
            <a:ln>
              <a:solidFill>
                <a:schemeClr val="tx1"/>
              </a:solidFill>
            </a:ln>
            <a:effectLst/>
          </c:spPr>
          <c:invertIfNegative val="0"/>
          <c:cat>
            <c:strRef>
              <c:f>Sheet4!$K$4:$K$10</c:f>
              <c:strCache>
                <c:ptCount val="7"/>
                <c:pt idx="0">
                  <c:v>&lt;15</c:v>
                </c:pt>
                <c:pt idx="1">
                  <c:v>15-19</c:v>
                </c:pt>
                <c:pt idx="2">
                  <c:v>20-24</c:v>
                </c:pt>
                <c:pt idx="3">
                  <c:v>25-34</c:v>
                </c:pt>
                <c:pt idx="4">
                  <c:v>35-44</c:v>
                </c:pt>
                <c:pt idx="5">
                  <c:v>45-64</c:v>
                </c:pt>
                <c:pt idx="6">
                  <c:v>65+</c:v>
                </c:pt>
              </c:strCache>
            </c:strRef>
          </c:cat>
          <c:val>
            <c:numRef>
              <c:f>Sheet4!$L$4:$L$10</c:f>
              <c:numCache>
                <c:formatCode>0%</c:formatCode>
                <c:ptCount val="7"/>
                <c:pt idx="0">
                  <c:v>-0.5</c:v>
                </c:pt>
                <c:pt idx="1">
                  <c:v>-0.2928</c:v>
                </c:pt>
                <c:pt idx="2">
                  <c:v>-0.4249</c:v>
                </c:pt>
                <c:pt idx="3">
                  <c:v>-0.58309999999999995</c:v>
                </c:pt>
                <c:pt idx="4">
                  <c:v>-0.60499999999999998</c:v>
                </c:pt>
                <c:pt idx="5">
                  <c:v>-0.86150000000000004</c:v>
                </c:pt>
                <c:pt idx="6">
                  <c:v>-1</c:v>
                </c:pt>
              </c:numCache>
            </c:numRef>
          </c:val>
          <c:extLst>
            <c:ext xmlns:c16="http://schemas.microsoft.com/office/drawing/2014/chart" uri="{C3380CC4-5D6E-409C-BE32-E72D297353CC}">
              <c16:uniqueId val="{00000000-0F1A-4308-A791-232720D2AB36}"/>
            </c:ext>
          </c:extLst>
        </c:ser>
        <c:ser>
          <c:idx val="1"/>
          <c:order val="1"/>
          <c:tx>
            <c:strRef>
              <c:f>Sheet4!$M$3</c:f>
              <c:strCache>
                <c:ptCount val="1"/>
                <c:pt idx="0">
                  <c:v>Female</c:v>
                </c:pt>
              </c:strCache>
            </c:strRef>
          </c:tx>
          <c:spPr>
            <a:solidFill>
              <a:srgbClr val="FF0000"/>
            </a:solidFill>
            <a:ln>
              <a:solidFill>
                <a:schemeClr val="tx1"/>
              </a:solidFill>
            </a:ln>
            <a:effectLst/>
          </c:spPr>
          <c:invertIfNegative val="0"/>
          <c:cat>
            <c:strRef>
              <c:f>Sheet4!$K$4:$K$10</c:f>
              <c:strCache>
                <c:ptCount val="7"/>
                <c:pt idx="0">
                  <c:v>&lt;15</c:v>
                </c:pt>
                <c:pt idx="1">
                  <c:v>15-19</c:v>
                </c:pt>
                <c:pt idx="2">
                  <c:v>20-24</c:v>
                </c:pt>
                <c:pt idx="3">
                  <c:v>25-34</c:v>
                </c:pt>
                <c:pt idx="4">
                  <c:v>35-44</c:v>
                </c:pt>
                <c:pt idx="5">
                  <c:v>45-64</c:v>
                </c:pt>
                <c:pt idx="6">
                  <c:v>65+</c:v>
                </c:pt>
              </c:strCache>
            </c:strRef>
          </c:cat>
          <c:val>
            <c:numRef>
              <c:f>Sheet4!$M$4:$M$10</c:f>
              <c:numCache>
                <c:formatCode>0%</c:formatCode>
                <c:ptCount val="7"/>
                <c:pt idx="0">
                  <c:v>0.5</c:v>
                </c:pt>
                <c:pt idx="1">
                  <c:v>0.70720000000000005</c:v>
                </c:pt>
                <c:pt idx="2">
                  <c:v>0.57509999999999994</c:v>
                </c:pt>
                <c:pt idx="3">
                  <c:v>0.41689999999999999</c:v>
                </c:pt>
                <c:pt idx="4">
                  <c:v>0.39500000000000002</c:v>
                </c:pt>
                <c:pt idx="5">
                  <c:v>0.13850000000000001</c:v>
                </c:pt>
                <c:pt idx="6">
                  <c:v>0</c:v>
                </c:pt>
              </c:numCache>
            </c:numRef>
          </c:val>
          <c:extLst>
            <c:ext xmlns:c16="http://schemas.microsoft.com/office/drawing/2014/chart" uri="{C3380CC4-5D6E-409C-BE32-E72D297353CC}">
              <c16:uniqueId val="{00000001-0F1A-4308-A791-232720D2AB36}"/>
            </c:ext>
          </c:extLst>
        </c:ser>
        <c:dLbls>
          <c:showLegendKey val="0"/>
          <c:showVal val="0"/>
          <c:showCatName val="0"/>
          <c:showSerName val="0"/>
          <c:showPercent val="0"/>
          <c:showBubbleSize val="0"/>
        </c:dLbls>
        <c:gapWidth val="0"/>
        <c:overlap val="100"/>
        <c:axId val="643595368"/>
        <c:axId val="643595696"/>
      </c:barChart>
      <c:catAx>
        <c:axId val="643595368"/>
        <c:scaling>
          <c:orientation val="minMax"/>
        </c:scaling>
        <c:delete val="0"/>
        <c:axPos val="l"/>
        <c:numFmt formatCode="0;[Red]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95696"/>
        <c:crosses val="autoZero"/>
        <c:auto val="1"/>
        <c:lblAlgn val="ctr"/>
        <c:lblOffset val="100"/>
        <c:noMultiLvlLbl val="0"/>
      </c:catAx>
      <c:valAx>
        <c:axId val="6435956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95368"/>
        <c:crosses val="autoZero"/>
        <c:crossBetween val="between"/>
      </c:valAx>
      <c:spPr>
        <a:noFill/>
        <a:ln w="3175">
          <a:solidFill>
            <a:schemeClr val="tx1">
              <a:lumMod val="95000"/>
              <a:lumOff val="5000"/>
              <a:alpha val="96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Teenage Pregnancies</a:t>
            </a:r>
            <a:r>
              <a:rPr lang="en-US" baseline="0"/>
              <a:t> at Time of Booking by York Ward </a:t>
            </a:r>
            <a:r>
              <a:rPr lang="en-US"/>
              <a:t>2022/23</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'Teenage Pregnancy ToB'!$D$3</c:f>
              <c:strCache>
                <c:ptCount val="1"/>
                <c:pt idx="0">
                  <c:v>2022/23</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'Teenage Pregnancy ToB'!$C$4:$C$27</c:f>
              <c:strCache>
                <c:ptCount val="24"/>
                <c:pt idx="0">
                  <c:v>Bishopthorpe</c:v>
                </c:pt>
                <c:pt idx="1">
                  <c:v>Copmanthorpe</c:v>
                </c:pt>
                <c:pt idx="2">
                  <c:v>Fulford &amp; Heslington</c:v>
                </c:pt>
                <c:pt idx="3">
                  <c:v>Heworth Without</c:v>
                </c:pt>
                <c:pt idx="4">
                  <c:v>Rural West York</c:v>
                </c:pt>
                <c:pt idx="5">
                  <c:v>Strensall</c:v>
                </c:pt>
                <c:pt idx="6">
                  <c:v>Wheldrake</c:v>
                </c:pt>
                <c:pt idx="7">
                  <c:v>Heworth</c:v>
                </c:pt>
                <c:pt idx="8">
                  <c:v>Rawcliffe &amp; Clifton Without</c:v>
                </c:pt>
                <c:pt idx="9">
                  <c:v>Micklegate</c:v>
                </c:pt>
                <c:pt idx="10">
                  <c:v>Dringhouses &amp; Woodthorpe</c:v>
                </c:pt>
                <c:pt idx="11">
                  <c:v>Haxby &amp; Wigginton</c:v>
                </c:pt>
                <c:pt idx="12">
                  <c:v>LAT North</c:v>
                </c:pt>
                <c:pt idx="13">
                  <c:v>LAT East</c:v>
                </c:pt>
                <c:pt idx="14">
                  <c:v>Guildhall</c:v>
                </c:pt>
                <c:pt idx="15">
                  <c:v>Osbaldwick &amp; Derwent</c:v>
                </c:pt>
                <c:pt idx="16">
                  <c:v>LAT West</c:v>
                </c:pt>
                <c:pt idx="17">
                  <c:v>Clifton</c:v>
                </c:pt>
                <c:pt idx="18">
                  <c:v>Fishergate</c:v>
                </c:pt>
                <c:pt idx="19">
                  <c:v>Westfield</c:v>
                </c:pt>
                <c:pt idx="20">
                  <c:v>Holgate</c:v>
                </c:pt>
                <c:pt idx="21">
                  <c:v>Huntington &amp; New Earswick</c:v>
                </c:pt>
                <c:pt idx="22">
                  <c:v>Acomb</c:v>
                </c:pt>
                <c:pt idx="23">
                  <c:v>Hull Road</c:v>
                </c:pt>
              </c:strCache>
            </c:strRef>
          </c:cat>
          <c:val>
            <c:numRef>
              <c:f>'Teenage Pregnancy ToB'!$D$4:$D$27</c:f>
              <c:numCache>
                <c:formatCode>0.00%</c:formatCode>
                <c:ptCount val="24"/>
                <c:pt idx="0">
                  <c:v>0</c:v>
                </c:pt>
                <c:pt idx="1">
                  <c:v>0</c:v>
                </c:pt>
                <c:pt idx="2">
                  <c:v>0</c:v>
                </c:pt>
                <c:pt idx="3">
                  <c:v>0</c:v>
                </c:pt>
                <c:pt idx="4">
                  <c:v>0</c:v>
                </c:pt>
                <c:pt idx="5">
                  <c:v>0</c:v>
                </c:pt>
                <c:pt idx="6">
                  <c:v>0</c:v>
                </c:pt>
                <c:pt idx="7">
                  <c:v>6.4000000000000003E-3</c:v>
                </c:pt>
                <c:pt idx="8">
                  <c:v>7.4999999999999997E-3</c:v>
                </c:pt>
                <c:pt idx="9">
                  <c:v>8.5000000000000006E-3</c:v>
                </c:pt>
                <c:pt idx="10">
                  <c:v>1.06E-2</c:v>
                </c:pt>
                <c:pt idx="11">
                  <c:v>1.2699999999999999E-2</c:v>
                </c:pt>
                <c:pt idx="12">
                  <c:v>1.55E-2</c:v>
                </c:pt>
                <c:pt idx="13">
                  <c:v>1.5699999999999999E-2</c:v>
                </c:pt>
                <c:pt idx="14">
                  <c:v>1.6799999999999999E-2</c:v>
                </c:pt>
                <c:pt idx="15">
                  <c:v>1.7899999999999999E-2</c:v>
                </c:pt>
                <c:pt idx="16">
                  <c:v>1.9099999999999999E-2</c:v>
                </c:pt>
                <c:pt idx="17">
                  <c:v>2.0400000000000001E-2</c:v>
                </c:pt>
                <c:pt idx="18">
                  <c:v>2.4400000000000002E-2</c:v>
                </c:pt>
                <c:pt idx="19">
                  <c:v>2.4400000000000002E-2</c:v>
                </c:pt>
                <c:pt idx="20">
                  <c:v>3.2899999999999999E-2</c:v>
                </c:pt>
                <c:pt idx="21">
                  <c:v>3.3300000000000003E-2</c:v>
                </c:pt>
                <c:pt idx="22">
                  <c:v>3.4500000000000003E-2</c:v>
                </c:pt>
                <c:pt idx="23">
                  <c:v>4.1700000000000001E-2</c:v>
                </c:pt>
              </c:numCache>
            </c:numRef>
          </c:val>
          <c:extLst>
            <c:ext xmlns:c16="http://schemas.microsoft.com/office/drawing/2014/chart" uri="{C3380CC4-5D6E-409C-BE32-E72D297353CC}">
              <c16:uniqueId val="{00000000-C42A-48E5-8D0C-69F56C5A957E}"/>
            </c:ext>
          </c:extLst>
        </c:ser>
        <c:dLbls>
          <c:showLegendKey val="0"/>
          <c:showVal val="0"/>
          <c:showCatName val="0"/>
          <c:showSerName val="0"/>
          <c:showPercent val="0"/>
          <c:showBubbleSize val="0"/>
        </c:dLbls>
        <c:gapWidth val="100"/>
        <c:overlap val="-24"/>
        <c:axId val="686331688"/>
        <c:axId val="686326768"/>
      </c:barChart>
      <c:catAx>
        <c:axId val="68633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686326768"/>
        <c:crosses val="autoZero"/>
        <c:auto val="1"/>
        <c:lblAlgn val="ctr"/>
        <c:lblOffset val="100"/>
        <c:noMultiLvlLbl val="0"/>
      </c:catAx>
      <c:valAx>
        <c:axId val="686326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686331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0.6417</cdr:x>
      <cdr:y>0.95854</cdr:y>
    </cdr:from>
    <cdr:to>
      <cdr:x>0.82213</cdr:x>
      <cdr:y>1</cdr:y>
    </cdr:to>
    <cdr:sp macro="" textlink="">
      <cdr:nvSpPr>
        <cdr:cNvPr id="2" name="TextBox 1"/>
        <cdr:cNvSpPr txBox="1"/>
      </cdr:nvSpPr>
      <cdr:spPr>
        <a:xfrm xmlns:a="http://schemas.openxmlformats.org/drawingml/2006/main">
          <a:off x="2762250" y="3392365"/>
          <a:ext cx="776654" cy="146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0.62128</cdr:x>
      <cdr:y>0.92869</cdr:y>
    </cdr:from>
    <cdr:to>
      <cdr:x>0.80511</cdr:x>
      <cdr:y>0.99295</cdr:y>
    </cdr:to>
    <cdr:sp macro="" textlink="">
      <cdr:nvSpPr>
        <cdr:cNvPr id="3" name="TextBox 2"/>
        <cdr:cNvSpPr txBox="1"/>
      </cdr:nvSpPr>
      <cdr:spPr>
        <a:xfrm xmlns:a="http://schemas.openxmlformats.org/drawingml/2006/main">
          <a:off x="2674327" y="3282462"/>
          <a:ext cx="791308" cy="227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t>Females</a:t>
          </a:r>
        </a:p>
      </cdr:txBody>
    </cdr:sp>
  </cdr:relSizeAnchor>
  <cdr:relSizeAnchor xmlns:cdr="http://schemas.openxmlformats.org/drawingml/2006/chartDrawing">
    <cdr:from>
      <cdr:x>0.35745</cdr:x>
      <cdr:y>0.92537</cdr:y>
    </cdr:from>
    <cdr:to>
      <cdr:x>0.54128</cdr:x>
      <cdr:y>0.98964</cdr:y>
    </cdr:to>
    <cdr:sp macro="" textlink="">
      <cdr:nvSpPr>
        <cdr:cNvPr id="4" name="TextBox 1"/>
        <cdr:cNvSpPr txBox="1"/>
      </cdr:nvSpPr>
      <cdr:spPr>
        <a:xfrm xmlns:a="http://schemas.openxmlformats.org/drawingml/2006/main">
          <a:off x="1538653" y="3270740"/>
          <a:ext cx="791308" cy="2271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t>Males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D949-1A93-430D-87F9-768B62FA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7361</Words>
  <Characters>41962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Heather</dc:creator>
  <cp:keywords/>
  <dc:description/>
  <cp:lastModifiedBy>Baker, Heather</cp:lastModifiedBy>
  <cp:revision>2</cp:revision>
  <cp:lastPrinted>2022-12-22T09:45:00Z</cp:lastPrinted>
  <dcterms:created xsi:type="dcterms:W3CDTF">2023-01-16T13:53:00Z</dcterms:created>
  <dcterms:modified xsi:type="dcterms:W3CDTF">2023-01-16T13:53:00Z</dcterms:modified>
</cp:coreProperties>
</file>